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66793" w14:textId="77777777" w:rsidR="006470A6" w:rsidRPr="004E3184" w:rsidRDefault="006470A6">
      <w:pPr>
        <w:pStyle w:val="Titel"/>
        <w:rPr>
          <w:rFonts w:ascii="Mobistar Regular" w:hAnsi="Mobistar Regular"/>
          <w:sz w:val="24"/>
          <w:u w:val="single"/>
        </w:rPr>
      </w:pPr>
    </w:p>
    <w:p w14:paraId="6DF66794" w14:textId="77777777" w:rsidR="006470A6" w:rsidRPr="004E3184" w:rsidRDefault="006470A6">
      <w:pPr>
        <w:rPr>
          <w:rFonts w:ascii="Mobistar Regular" w:hAnsi="Mobistar Regular"/>
        </w:rPr>
      </w:pPr>
    </w:p>
    <w:p w14:paraId="6DF66795" w14:textId="77777777" w:rsidR="006470A6" w:rsidRPr="00AC56F7" w:rsidRDefault="006470A6">
      <w:pPr>
        <w:pBdr>
          <w:top w:val="single" w:sz="4" w:space="1" w:color="auto"/>
          <w:left w:val="single" w:sz="4" w:space="4" w:color="auto"/>
          <w:bottom w:val="single" w:sz="4" w:space="1" w:color="auto"/>
          <w:right w:val="single" w:sz="4" w:space="4" w:color="auto"/>
        </w:pBdr>
        <w:jc w:val="center"/>
        <w:rPr>
          <w:rFonts w:ascii="Helvetica 55 Roman" w:hAnsi="Helvetica 55 Roman"/>
          <w:b/>
          <w:sz w:val="48"/>
        </w:rPr>
      </w:pPr>
      <w:r w:rsidRPr="00AC56F7">
        <w:rPr>
          <w:rFonts w:ascii="Helvetica 55 Roman" w:hAnsi="Helvetica 55 Roman"/>
          <w:b/>
          <w:sz w:val="48"/>
        </w:rPr>
        <w:t>Annex G:</w:t>
      </w:r>
    </w:p>
    <w:p w14:paraId="6DF66796" w14:textId="77777777" w:rsidR="006470A6" w:rsidRPr="00AC56F7" w:rsidRDefault="00532E5D" w:rsidP="00A65126">
      <w:pPr>
        <w:pBdr>
          <w:top w:val="single" w:sz="4" w:space="1" w:color="auto"/>
          <w:left w:val="single" w:sz="4" w:space="4" w:color="auto"/>
          <w:bottom w:val="single" w:sz="4" w:space="1" w:color="auto"/>
          <w:right w:val="single" w:sz="4" w:space="4" w:color="auto"/>
        </w:pBdr>
        <w:jc w:val="center"/>
        <w:rPr>
          <w:rFonts w:ascii="Helvetica 55 Roman" w:hAnsi="Helvetica 55 Roman"/>
          <w:b/>
          <w:sz w:val="48"/>
        </w:rPr>
      </w:pPr>
      <w:r>
        <w:rPr>
          <w:rFonts w:ascii="Helvetica 55 Roman" w:hAnsi="Helvetica 55 Roman"/>
          <w:b/>
          <w:sz w:val="48"/>
        </w:rPr>
        <w:t>IMPLEMENTATION,</w:t>
      </w:r>
      <w:r w:rsidR="00A65126">
        <w:rPr>
          <w:rFonts w:ascii="Helvetica 55 Roman" w:hAnsi="Helvetica 55 Roman"/>
          <w:b/>
          <w:sz w:val="48"/>
        </w:rPr>
        <w:t xml:space="preserve"> MAINTENANCE</w:t>
      </w:r>
      <w:r>
        <w:rPr>
          <w:rFonts w:ascii="Helvetica 55 Roman" w:hAnsi="Helvetica 55 Roman"/>
          <w:b/>
          <w:sz w:val="48"/>
        </w:rPr>
        <w:t>, OPERATIONS</w:t>
      </w:r>
    </w:p>
    <w:p w14:paraId="6DF66797" w14:textId="77777777" w:rsidR="006470A6" w:rsidRPr="00AC56F7" w:rsidRDefault="00A65126" w:rsidP="00A65126">
      <w:pPr>
        <w:spacing w:before="360"/>
        <w:outlineLvl w:val="0"/>
        <w:rPr>
          <w:rFonts w:ascii="Helvetica 55 Roman" w:hAnsi="Helvetica 55 Roman"/>
          <w:sz w:val="32"/>
        </w:rPr>
      </w:pPr>
      <w:r w:rsidRPr="00AC56F7">
        <w:rPr>
          <w:rFonts w:ascii="Helvetica 55 Roman" w:hAnsi="Helvetica 55 Roman"/>
          <w:sz w:val="32"/>
        </w:rPr>
        <w:t xml:space="preserve"> </w:t>
      </w:r>
    </w:p>
    <w:p w14:paraId="6DF66798" w14:textId="77777777" w:rsidR="006470A6" w:rsidRPr="00AC56F7" w:rsidRDefault="006470A6">
      <w:pPr>
        <w:pStyle w:val="Titel"/>
        <w:rPr>
          <w:rFonts w:ascii="Helvetica 55 Roman" w:hAnsi="Helvetica 55 Roman"/>
          <w:sz w:val="24"/>
          <w:u w:val="single"/>
        </w:rPr>
      </w:pPr>
    </w:p>
    <w:p w14:paraId="6DF66799" w14:textId="77777777" w:rsidR="006470A6" w:rsidRPr="00AC56F7" w:rsidRDefault="006470A6">
      <w:pPr>
        <w:pStyle w:val="Titel"/>
        <w:pageBreakBefore/>
        <w:rPr>
          <w:rFonts w:ascii="Helvetica 55 Roman" w:hAnsi="Helvetica 55 Roman"/>
          <w:sz w:val="32"/>
        </w:rPr>
      </w:pPr>
      <w:r w:rsidRPr="00AC56F7">
        <w:rPr>
          <w:rFonts w:ascii="Helvetica 55 Roman" w:hAnsi="Helvetica 55 Roman"/>
          <w:b/>
          <w:i/>
          <w:sz w:val="32"/>
        </w:rPr>
        <w:lastRenderedPageBreak/>
        <w:t>Table of Contents</w:t>
      </w:r>
    </w:p>
    <w:p w14:paraId="2E226CFB" w14:textId="77777777" w:rsidR="00255613" w:rsidRDefault="006470A6">
      <w:pPr>
        <w:pStyle w:val="TOC1"/>
        <w:tabs>
          <w:tab w:val="left" w:pos="480"/>
        </w:tabs>
        <w:rPr>
          <w:rFonts w:asciiTheme="minorHAnsi" w:eastAsiaTheme="minorEastAsia" w:hAnsiTheme="minorHAnsi" w:cstheme="minorBidi"/>
          <w:b w:val="0"/>
          <w:caps w:val="0"/>
          <w:noProof/>
          <w:szCs w:val="22"/>
          <w:lang w:val="en-US" w:eastAsia="en-US"/>
        </w:rPr>
      </w:pPr>
      <w:r w:rsidRPr="00AC56F7">
        <w:rPr>
          <w:rFonts w:ascii="Helvetica 55 Roman" w:hAnsi="Helvetica 55 Roman"/>
          <w:caps w:val="0"/>
          <w:sz w:val="32"/>
        </w:rPr>
        <w:fldChar w:fldCharType="begin"/>
      </w:r>
      <w:r w:rsidRPr="00AC56F7">
        <w:rPr>
          <w:rFonts w:ascii="Helvetica 55 Roman" w:hAnsi="Helvetica 55 Roman"/>
          <w:caps w:val="0"/>
          <w:sz w:val="32"/>
        </w:rPr>
        <w:instrText xml:space="preserve"> TOC \o "1-3" </w:instrText>
      </w:r>
      <w:r w:rsidRPr="00AC56F7">
        <w:rPr>
          <w:rFonts w:ascii="Helvetica 55 Roman" w:hAnsi="Helvetica 55 Roman"/>
          <w:caps w:val="0"/>
          <w:sz w:val="32"/>
        </w:rPr>
        <w:fldChar w:fldCharType="separate"/>
      </w:r>
      <w:r w:rsidR="00255613" w:rsidRPr="006E5E02">
        <w:rPr>
          <w:rFonts w:ascii="Helvetica 55 Roman" w:hAnsi="Helvetica 55 Roman"/>
          <w:noProof/>
        </w:rPr>
        <w:t>1</w:t>
      </w:r>
      <w:r w:rsidR="00255613">
        <w:rPr>
          <w:rFonts w:asciiTheme="minorHAnsi" w:eastAsiaTheme="minorEastAsia" w:hAnsiTheme="minorHAnsi" w:cstheme="minorBidi"/>
          <w:b w:val="0"/>
          <w:caps w:val="0"/>
          <w:noProof/>
          <w:szCs w:val="22"/>
          <w:lang w:val="en-US" w:eastAsia="en-US"/>
        </w:rPr>
        <w:tab/>
      </w:r>
      <w:r w:rsidR="00255613" w:rsidRPr="006E5E02">
        <w:rPr>
          <w:rFonts w:ascii="Helvetica 55 Roman" w:hAnsi="Helvetica 55 Roman"/>
          <w:noProof/>
        </w:rPr>
        <w:t>Scope</w:t>
      </w:r>
      <w:r w:rsidR="00255613">
        <w:rPr>
          <w:noProof/>
        </w:rPr>
        <w:tab/>
      </w:r>
      <w:r w:rsidR="00255613">
        <w:rPr>
          <w:noProof/>
        </w:rPr>
        <w:fldChar w:fldCharType="begin"/>
      </w:r>
      <w:r w:rsidR="00255613">
        <w:rPr>
          <w:noProof/>
        </w:rPr>
        <w:instrText xml:space="preserve"> PAGEREF _Toc45704624 \h </w:instrText>
      </w:r>
      <w:r w:rsidR="00255613">
        <w:rPr>
          <w:noProof/>
        </w:rPr>
      </w:r>
      <w:r w:rsidR="00255613">
        <w:rPr>
          <w:noProof/>
        </w:rPr>
        <w:fldChar w:fldCharType="separate"/>
      </w:r>
      <w:r w:rsidR="00255613">
        <w:rPr>
          <w:noProof/>
        </w:rPr>
        <w:t>4</w:t>
      </w:r>
      <w:r w:rsidR="00255613">
        <w:rPr>
          <w:noProof/>
        </w:rPr>
        <w:fldChar w:fldCharType="end"/>
      </w:r>
    </w:p>
    <w:p w14:paraId="79BBA90E" w14:textId="77777777" w:rsidR="00255613" w:rsidRDefault="00255613">
      <w:pPr>
        <w:pStyle w:val="TOC1"/>
        <w:tabs>
          <w:tab w:val="left" w:pos="480"/>
        </w:tabs>
        <w:rPr>
          <w:rFonts w:asciiTheme="minorHAnsi" w:eastAsiaTheme="minorEastAsia" w:hAnsiTheme="minorHAnsi" w:cstheme="minorBidi"/>
          <w:b w:val="0"/>
          <w:caps w:val="0"/>
          <w:noProof/>
          <w:szCs w:val="22"/>
          <w:lang w:val="en-US" w:eastAsia="en-US"/>
        </w:rPr>
      </w:pPr>
      <w:r w:rsidRPr="006E5E02">
        <w:rPr>
          <w:rFonts w:ascii="Helvetica 55 Roman" w:hAnsi="Helvetica 55 Roman"/>
          <w:noProof/>
        </w:rPr>
        <w:t>2</w:t>
      </w:r>
      <w:r>
        <w:rPr>
          <w:rFonts w:asciiTheme="minorHAnsi" w:eastAsiaTheme="minorEastAsia" w:hAnsiTheme="minorHAnsi" w:cstheme="minorBidi"/>
          <w:b w:val="0"/>
          <w:caps w:val="0"/>
          <w:noProof/>
          <w:szCs w:val="22"/>
          <w:lang w:val="en-US" w:eastAsia="en-US"/>
        </w:rPr>
        <w:tab/>
      </w:r>
      <w:r w:rsidRPr="006E5E02">
        <w:rPr>
          <w:rFonts w:ascii="Helvetica 55 Roman" w:hAnsi="Helvetica 55 Roman"/>
          <w:noProof/>
        </w:rPr>
        <w:t>Technical Interconnection Meetings (TIC meetings)</w:t>
      </w:r>
      <w:r>
        <w:rPr>
          <w:noProof/>
        </w:rPr>
        <w:tab/>
      </w:r>
      <w:r>
        <w:rPr>
          <w:noProof/>
        </w:rPr>
        <w:fldChar w:fldCharType="begin"/>
      </w:r>
      <w:r>
        <w:rPr>
          <w:noProof/>
        </w:rPr>
        <w:instrText xml:space="preserve"> PAGEREF _Toc45704625 \h </w:instrText>
      </w:r>
      <w:r>
        <w:rPr>
          <w:noProof/>
        </w:rPr>
      </w:r>
      <w:r>
        <w:rPr>
          <w:noProof/>
        </w:rPr>
        <w:fldChar w:fldCharType="separate"/>
      </w:r>
      <w:r>
        <w:rPr>
          <w:noProof/>
        </w:rPr>
        <w:t>4</w:t>
      </w:r>
      <w:r>
        <w:rPr>
          <w:noProof/>
        </w:rPr>
        <w:fldChar w:fldCharType="end"/>
      </w:r>
    </w:p>
    <w:p w14:paraId="2F51700E" w14:textId="77777777" w:rsidR="00255613" w:rsidRDefault="00255613">
      <w:pPr>
        <w:pStyle w:val="TOC1"/>
        <w:tabs>
          <w:tab w:val="left" w:pos="480"/>
        </w:tabs>
        <w:rPr>
          <w:rFonts w:asciiTheme="minorHAnsi" w:eastAsiaTheme="minorEastAsia" w:hAnsiTheme="minorHAnsi" w:cstheme="minorBidi"/>
          <w:b w:val="0"/>
          <w:caps w:val="0"/>
          <w:noProof/>
          <w:szCs w:val="22"/>
          <w:lang w:val="en-US" w:eastAsia="en-US"/>
        </w:rPr>
      </w:pPr>
      <w:r w:rsidRPr="006E5E02">
        <w:rPr>
          <w:rFonts w:ascii="Helvetica 55 Roman" w:hAnsi="Helvetica 55 Roman"/>
          <w:noProof/>
        </w:rPr>
        <w:t>3</w:t>
      </w:r>
      <w:r>
        <w:rPr>
          <w:rFonts w:asciiTheme="minorHAnsi" w:eastAsiaTheme="minorEastAsia" w:hAnsiTheme="minorHAnsi" w:cstheme="minorBidi"/>
          <w:b w:val="0"/>
          <w:caps w:val="0"/>
          <w:noProof/>
          <w:szCs w:val="22"/>
          <w:lang w:val="en-US" w:eastAsia="en-US"/>
        </w:rPr>
        <w:tab/>
      </w:r>
      <w:r w:rsidRPr="006E5E02">
        <w:rPr>
          <w:rFonts w:ascii="Helvetica 55 Roman" w:hAnsi="Helvetica 55 Roman"/>
          <w:noProof/>
        </w:rPr>
        <w:t>Responsibilities</w:t>
      </w:r>
      <w:r>
        <w:rPr>
          <w:noProof/>
        </w:rPr>
        <w:tab/>
      </w:r>
      <w:r>
        <w:rPr>
          <w:noProof/>
        </w:rPr>
        <w:fldChar w:fldCharType="begin"/>
      </w:r>
      <w:r>
        <w:rPr>
          <w:noProof/>
        </w:rPr>
        <w:instrText xml:space="preserve"> PAGEREF _Toc45704626 \h </w:instrText>
      </w:r>
      <w:r>
        <w:rPr>
          <w:noProof/>
        </w:rPr>
      </w:r>
      <w:r>
        <w:rPr>
          <w:noProof/>
        </w:rPr>
        <w:fldChar w:fldCharType="separate"/>
      </w:r>
      <w:r>
        <w:rPr>
          <w:noProof/>
        </w:rPr>
        <w:t>4</w:t>
      </w:r>
      <w:r>
        <w:rPr>
          <w:noProof/>
        </w:rPr>
        <w:fldChar w:fldCharType="end"/>
      </w:r>
    </w:p>
    <w:p w14:paraId="62448733" w14:textId="77777777" w:rsidR="00255613" w:rsidRDefault="00255613">
      <w:pPr>
        <w:pStyle w:val="TOC2"/>
        <w:tabs>
          <w:tab w:val="left" w:pos="960"/>
        </w:tabs>
        <w:rPr>
          <w:rFonts w:asciiTheme="minorHAnsi" w:eastAsiaTheme="minorEastAsia" w:hAnsiTheme="minorHAnsi" w:cstheme="minorBidi"/>
          <w:b w:val="0"/>
          <w:noProof/>
          <w:sz w:val="22"/>
          <w:szCs w:val="22"/>
          <w:lang w:val="en-US" w:eastAsia="en-US"/>
        </w:rPr>
      </w:pPr>
      <w:r w:rsidRPr="006E5E02">
        <w:rPr>
          <w:rFonts w:ascii="Helvetica 55 Roman" w:hAnsi="Helvetica 55 Roman"/>
          <w:noProof/>
        </w:rPr>
        <w:t>3.1</w:t>
      </w:r>
      <w:r>
        <w:rPr>
          <w:rFonts w:asciiTheme="minorHAnsi" w:eastAsiaTheme="minorEastAsia" w:hAnsiTheme="minorHAnsi" w:cstheme="minorBidi"/>
          <w:b w:val="0"/>
          <w:noProof/>
          <w:sz w:val="22"/>
          <w:szCs w:val="22"/>
          <w:lang w:val="en-US" w:eastAsia="en-US"/>
        </w:rPr>
        <w:tab/>
      </w:r>
      <w:r w:rsidRPr="006E5E02">
        <w:rPr>
          <w:rFonts w:ascii="Helvetica 55 Roman" w:hAnsi="Helvetica 55 Roman"/>
          <w:noProof/>
        </w:rPr>
        <w:t>ORT (ORANGE BELGIUM Responsible Traffic)</w:t>
      </w:r>
      <w:r>
        <w:rPr>
          <w:noProof/>
        </w:rPr>
        <w:tab/>
      </w:r>
      <w:r>
        <w:rPr>
          <w:noProof/>
        </w:rPr>
        <w:fldChar w:fldCharType="begin"/>
      </w:r>
      <w:r>
        <w:rPr>
          <w:noProof/>
        </w:rPr>
        <w:instrText xml:space="preserve"> PAGEREF _Toc45704627 \h </w:instrText>
      </w:r>
      <w:r>
        <w:rPr>
          <w:noProof/>
        </w:rPr>
      </w:r>
      <w:r>
        <w:rPr>
          <w:noProof/>
        </w:rPr>
        <w:fldChar w:fldCharType="separate"/>
      </w:r>
      <w:r>
        <w:rPr>
          <w:noProof/>
        </w:rPr>
        <w:t>5</w:t>
      </w:r>
      <w:r>
        <w:rPr>
          <w:noProof/>
        </w:rPr>
        <w:fldChar w:fldCharType="end"/>
      </w:r>
    </w:p>
    <w:p w14:paraId="7A039F9E" w14:textId="17005867" w:rsidR="00255613" w:rsidRDefault="00255613">
      <w:pPr>
        <w:pStyle w:val="TOC2"/>
        <w:tabs>
          <w:tab w:val="left" w:pos="960"/>
        </w:tabs>
        <w:rPr>
          <w:rFonts w:asciiTheme="minorHAnsi" w:eastAsiaTheme="minorEastAsia" w:hAnsiTheme="minorHAnsi" w:cstheme="minorBidi"/>
          <w:b w:val="0"/>
          <w:noProof/>
          <w:sz w:val="22"/>
          <w:szCs w:val="22"/>
          <w:lang w:val="en-US" w:eastAsia="en-US"/>
        </w:rPr>
      </w:pPr>
      <w:r w:rsidRPr="006E5E02">
        <w:rPr>
          <w:rFonts w:ascii="Helvetica 55 Roman" w:hAnsi="Helvetica 55 Roman"/>
          <w:noProof/>
        </w:rPr>
        <w:t>3.2</w:t>
      </w:r>
      <w:r>
        <w:rPr>
          <w:rFonts w:asciiTheme="minorHAnsi" w:eastAsiaTheme="minorEastAsia" w:hAnsiTheme="minorHAnsi" w:cstheme="minorBidi"/>
          <w:b w:val="0"/>
          <w:noProof/>
          <w:sz w:val="22"/>
          <w:szCs w:val="22"/>
          <w:lang w:val="en-US" w:eastAsia="en-US"/>
        </w:rPr>
        <w:tab/>
      </w:r>
      <w:r w:rsidRPr="006E5E02">
        <w:rPr>
          <w:rFonts w:ascii="Helvetica 55 Roman" w:hAnsi="Helvetica 55 Roman"/>
          <w:noProof/>
        </w:rPr>
        <w:t>NRT (</w:t>
      </w:r>
      <w:r w:rsidR="00F861E0">
        <w:rPr>
          <w:rFonts w:ascii="Helvetica 55 Roman" w:hAnsi="Helvetica 55 Roman"/>
          <w:noProof/>
        </w:rPr>
        <w:t>Operator</w:t>
      </w:r>
      <w:r w:rsidRPr="006E5E02">
        <w:rPr>
          <w:rFonts w:ascii="Helvetica 55 Roman" w:hAnsi="Helvetica 55 Roman"/>
          <w:noProof/>
        </w:rPr>
        <w:t>’s Responsible Traffic)</w:t>
      </w:r>
      <w:r>
        <w:rPr>
          <w:noProof/>
        </w:rPr>
        <w:tab/>
      </w:r>
      <w:r>
        <w:rPr>
          <w:noProof/>
        </w:rPr>
        <w:fldChar w:fldCharType="begin"/>
      </w:r>
      <w:r>
        <w:rPr>
          <w:noProof/>
        </w:rPr>
        <w:instrText xml:space="preserve"> PAGEREF _Toc45704628 \h </w:instrText>
      </w:r>
      <w:r>
        <w:rPr>
          <w:noProof/>
        </w:rPr>
      </w:r>
      <w:r>
        <w:rPr>
          <w:noProof/>
        </w:rPr>
        <w:fldChar w:fldCharType="separate"/>
      </w:r>
      <w:r>
        <w:rPr>
          <w:noProof/>
        </w:rPr>
        <w:t>5</w:t>
      </w:r>
      <w:r>
        <w:rPr>
          <w:noProof/>
        </w:rPr>
        <w:fldChar w:fldCharType="end"/>
      </w:r>
    </w:p>
    <w:p w14:paraId="780F6668" w14:textId="77777777" w:rsidR="00255613" w:rsidRDefault="00255613">
      <w:pPr>
        <w:pStyle w:val="TOC1"/>
        <w:tabs>
          <w:tab w:val="left" w:pos="480"/>
        </w:tabs>
        <w:rPr>
          <w:rFonts w:asciiTheme="minorHAnsi" w:eastAsiaTheme="minorEastAsia" w:hAnsiTheme="minorHAnsi" w:cstheme="minorBidi"/>
          <w:b w:val="0"/>
          <w:caps w:val="0"/>
          <w:noProof/>
          <w:szCs w:val="22"/>
          <w:lang w:val="en-US" w:eastAsia="en-US"/>
        </w:rPr>
      </w:pPr>
      <w:r w:rsidRPr="006E5E02">
        <w:rPr>
          <w:rFonts w:ascii="Helvetica 55 Roman" w:hAnsi="Helvetica 55 Roman"/>
          <w:noProof/>
        </w:rPr>
        <w:t>4</w:t>
      </w:r>
      <w:r>
        <w:rPr>
          <w:rFonts w:asciiTheme="minorHAnsi" w:eastAsiaTheme="minorEastAsia" w:hAnsiTheme="minorHAnsi" w:cstheme="minorBidi"/>
          <w:b w:val="0"/>
          <w:caps w:val="0"/>
          <w:noProof/>
          <w:szCs w:val="22"/>
          <w:lang w:val="en-US" w:eastAsia="en-US"/>
        </w:rPr>
        <w:tab/>
      </w:r>
      <w:r w:rsidRPr="006E5E02">
        <w:rPr>
          <w:rFonts w:ascii="Helvetica 55 Roman" w:hAnsi="Helvetica 55 Roman"/>
          <w:noProof/>
        </w:rPr>
        <w:t>Forecasting and Dimensioning</w:t>
      </w:r>
      <w:r>
        <w:rPr>
          <w:noProof/>
        </w:rPr>
        <w:tab/>
      </w:r>
      <w:r>
        <w:rPr>
          <w:noProof/>
        </w:rPr>
        <w:fldChar w:fldCharType="begin"/>
      </w:r>
      <w:r>
        <w:rPr>
          <w:noProof/>
        </w:rPr>
        <w:instrText xml:space="preserve"> PAGEREF _Toc45704629 \h </w:instrText>
      </w:r>
      <w:r>
        <w:rPr>
          <w:noProof/>
        </w:rPr>
      </w:r>
      <w:r>
        <w:rPr>
          <w:noProof/>
        </w:rPr>
        <w:fldChar w:fldCharType="separate"/>
      </w:r>
      <w:r>
        <w:rPr>
          <w:noProof/>
        </w:rPr>
        <w:t>6</w:t>
      </w:r>
      <w:r>
        <w:rPr>
          <w:noProof/>
        </w:rPr>
        <w:fldChar w:fldCharType="end"/>
      </w:r>
    </w:p>
    <w:p w14:paraId="01D8A749" w14:textId="77777777" w:rsidR="00255613" w:rsidRDefault="00255613">
      <w:pPr>
        <w:pStyle w:val="TOC2"/>
        <w:tabs>
          <w:tab w:val="left" w:pos="960"/>
        </w:tabs>
        <w:rPr>
          <w:rFonts w:asciiTheme="minorHAnsi" w:eastAsiaTheme="minorEastAsia" w:hAnsiTheme="minorHAnsi" w:cstheme="minorBidi"/>
          <w:b w:val="0"/>
          <w:noProof/>
          <w:sz w:val="22"/>
          <w:szCs w:val="22"/>
          <w:lang w:val="en-US" w:eastAsia="en-US"/>
        </w:rPr>
      </w:pPr>
      <w:r w:rsidRPr="006E5E02">
        <w:rPr>
          <w:rFonts w:ascii="Helvetica 55 Roman" w:hAnsi="Helvetica 55 Roman"/>
          <w:noProof/>
        </w:rPr>
        <w:t>4.1</w:t>
      </w:r>
      <w:r>
        <w:rPr>
          <w:rFonts w:asciiTheme="minorHAnsi" w:eastAsiaTheme="minorEastAsia" w:hAnsiTheme="minorHAnsi" w:cstheme="minorBidi"/>
          <w:b w:val="0"/>
          <w:noProof/>
          <w:sz w:val="22"/>
          <w:szCs w:val="22"/>
          <w:lang w:val="en-US" w:eastAsia="en-US"/>
        </w:rPr>
        <w:tab/>
      </w:r>
      <w:r w:rsidRPr="006E5E02">
        <w:rPr>
          <w:rFonts w:ascii="Helvetica 55 Roman" w:hAnsi="Helvetica 55 Roman"/>
          <w:noProof/>
        </w:rPr>
        <w:t>General</w:t>
      </w:r>
      <w:r>
        <w:rPr>
          <w:noProof/>
        </w:rPr>
        <w:tab/>
      </w:r>
      <w:r>
        <w:rPr>
          <w:noProof/>
        </w:rPr>
        <w:fldChar w:fldCharType="begin"/>
      </w:r>
      <w:r>
        <w:rPr>
          <w:noProof/>
        </w:rPr>
        <w:instrText xml:space="preserve"> PAGEREF _Toc45704630 \h </w:instrText>
      </w:r>
      <w:r>
        <w:rPr>
          <w:noProof/>
        </w:rPr>
      </w:r>
      <w:r>
        <w:rPr>
          <w:noProof/>
        </w:rPr>
        <w:fldChar w:fldCharType="separate"/>
      </w:r>
      <w:r>
        <w:rPr>
          <w:noProof/>
        </w:rPr>
        <w:t>6</w:t>
      </w:r>
      <w:r>
        <w:rPr>
          <w:noProof/>
        </w:rPr>
        <w:fldChar w:fldCharType="end"/>
      </w:r>
    </w:p>
    <w:p w14:paraId="6F96469A" w14:textId="77777777" w:rsidR="00255613" w:rsidRDefault="00255613">
      <w:pPr>
        <w:pStyle w:val="TOC2"/>
        <w:tabs>
          <w:tab w:val="left" w:pos="960"/>
        </w:tabs>
        <w:rPr>
          <w:rFonts w:asciiTheme="minorHAnsi" w:eastAsiaTheme="minorEastAsia" w:hAnsiTheme="minorHAnsi" w:cstheme="minorBidi"/>
          <w:b w:val="0"/>
          <w:noProof/>
          <w:sz w:val="22"/>
          <w:szCs w:val="22"/>
          <w:lang w:val="en-US" w:eastAsia="en-US"/>
        </w:rPr>
      </w:pPr>
      <w:r w:rsidRPr="006E5E02">
        <w:rPr>
          <w:rFonts w:ascii="Helvetica 55 Roman" w:hAnsi="Helvetica 55 Roman"/>
          <w:noProof/>
        </w:rPr>
        <w:t>4.2</w:t>
      </w:r>
      <w:r>
        <w:rPr>
          <w:rFonts w:asciiTheme="minorHAnsi" w:eastAsiaTheme="minorEastAsia" w:hAnsiTheme="minorHAnsi" w:cstheme="minorBidi"/>
          <w:b w:val="0"/>
          <w:noProof/>
          <w:sz w:val="22"/>
          <w:szCs w:val="22"/>
          <w:lang w:val="en-US" w:eastAsia="en-US"/>
        </w:rPr>
        <w:tab/>
      </w:r>
      <w:r w:rsidRPr="006E5E02">
        <w:rPr>
          <w:rFonts w:ascii="Helvetica 55 Roman" w:hAnsi="Helvetica 55 Roman"/>
          <w:noProof/>
        </w:rPr>
        <w:t>Start-up period</w:t>
      </w:r>
      <w:r>
        <w:rPr>
          <w:noProof/>
        </w:rPr>
        <w:tab/>
      </w:r>
      <w:r>
        <w:rPr>
          <w:noProof/>
        </w:rPr>
        <w:fldChar w:fldCharType="begin"/>
      </w:r>
      <w:r>
        <w:rPr>
          <w:noProof/>
        </w:rPr>
        <w:instrText xml:space="preserve"> PAGEREF _Toc45704631 \h </w:instrText>
      </w:r>
      <w:r>
        <w:rPr>
          <w:noProof/>
        </w:rPr>
      </w:r>
      <w:r>
        <w:rPr>
          <w:noProof/>
        </w:rPr>
        <w:fldChar w:fldCharType="separate"/>
      </w:r>
      <w:r>
        <w:rPr>
          <w:noProof/>
        </w:rPr>
        <w:t>6</w:t>
      </w:r>
      <w:r>
        <w:rPr>
          <w:noProof/>
        </w:rPr>
        <w:fldChar w:fldCharType="end"/>
      </w:r>
    </w:p>
    <w:p w14:paraId="731F6CCB" w14:textId="77777777" w:rsidR="00255613" w:rsidRDefault="00255613">
      <w:pPr>
        <w:pStyle w:val="TOC2"/>
        <w:tabs>
          <w:tab w:val="left" w:pos="960"/>
        </w:tabs>
        <w:rPr>
          <w:rFonts w:asciiTheme="minorHAnsi" w:eastAsiaTheme="minorEastAsia" w:hAnsiTheme="minorHAnsi" w:cstheme="minorBidi"/>
          <w:b w:val="0"/>
          <w:noProof/>
          <w:sz w:val="22"/>
          <w:szCs w:val="22"/>
          <w:lang w:val="en-US" w:eastAsia="en-US"/>
        </w:rPr>
      </w:pPr>
      <w:r w:rsidRPr="006E5E02">
        <w:rPr>
          <w:rFonts w:ascii="Helvetica 55 Roman" w:hAnsi="Helvetica 55 Roman"/>
          <w:noProof/>
        </w:rPr>
        <w:t>4.3</w:t>
      </w:r>
      <w:r>
        <w:rPr>
          <w:rFonts w:asciiTheme="minorHAnsi" w:eastAsiaTheme="minorEastAsia" w:hAnsiTheme="minorHAnsi" w:cstheme="minorBidi"/>
          <w:b w:val="0"/>
          <w:noProof/>
          <w:sz w:val="22"/>
          <w:szCs w:val="22"/>
          <w:lang w:val="en-US" w:eastAsia="en-US"/>
        </w:rPr>
        <w:tab/>
      </w:r>
      <w:r w:rsidRPr="006E5E02">
        <w:rPr>
          <w:rFonts w:ascii="Helvetica 55 Roman" w:hAnsi="Helvetica 55 Roman"/>
          <w:noProof/>
        </w:rPr>
        <w:t>Regular regime</w:t>
      </w:r>
      <w:r>
        <w:rPr>
          <w:noProof/>
        </w:rPr>
        <w:tab/>
      </w:r>
      <w:r>
        <w:rPr>
          <w:noProof/>
        </w:rPr>
        <w:fldChar w:fldCharType="begin"/>
      </w:r>
      <w:r>
        <w:rPr>
          <w:noProof/>
        </w:rPr>
        <w:instrText xml:space="preserve"> PAGEREF _Toc45704632 \h </w:instrText>
      </w:r>
      <w:r>
        <w:rPr>
          <w:noProof/>
        </w:rPr>
      </w:r>
      <w:r>
        <w:rPr>
          <w:noProof/>
        </w:rPr>
        <w:fldChar w:fldCharType="separate"/>
      </w:r>
      <w:r>
        <w:rPr>
          <w:noProof/>
        </w:rPr>
        <w:t>6</w:t>
      </w:r>
      <w:r>
        <w:rPr>
          <w:noProof/>
        </w:rPr>
        <w:fldChar w:fldCharType="end"/>
      </w:r>
    </w:p>
    <w:p w14:paraId="179D996A" w14:textId="77777777" w:rsidR="00255613" w:rsidRDefault="00255613">
      <w:pPr>
        <w:pStyle w:val="TOC3"/>
        <w:tabs>
          <w:tab w:val="left" w:pos="1200"/>
        </w:tabs>
        <w:rPr>
          <w:rFonts w:asciiTheme="minorHAnsi" w:eastAsiaTheme="minorEastAsia" w:hAnsiTheme="minorHAnsi" w:cstheme="minorBidi"/>
          <w:noProof/>
          <w:sz w:val="22"/>
          <w:szCs w:val="22"/>
          <w:lang w:val="en-US" w:eastAsia="en-US"/>
        </w:rPr>
      </w:pPr>
      <w:r w:rsidRPr="006E5E02">
        <w:rPr>
          <w:rFonts w:ascii="Helvetica 55 Roman" w:hAnsi="Helvetica 55 Roman"/>
          <w:noProof/>
        </w:rPr>
        <w:t>4.3.1</w:t>
      </w:r>
      <w:r>
        <w:rPr>
          <w:rFonts w:asciiTheme="minorHAnsi" w:eastAsiaTheme="minorEastAsia" w:hAnsiTheme="minorHAnsi" w:cstheme="minorBidi"/>
          <w:noProof/>
          <w:sz w:val="22"/>
          <w:szCs w:val="22"/>
          <w:lang w:val="en-US" w:eastAsia="en-US"/>
        </w:rPr>
        <w:tab/>
      </w:r>
      <w:r w:rsidRPr="006E5E02">
        <w:rPr>
          <w:rFonts w:ascii="Helvetica 55 Roman" w:hAnsi="Helvetica 55 Roman"/>
          <w:noProof/>
        </w:rPr>
        <w:t>Rolling Forecasts</w:t>
      </w:r>
      <w:r>
        <w:rPr>
          <w:noProof/>
        </w:rPr>
        <w:tab/>
      </w:r>
      <w:r>
        <w:rPr>
          <w:noProof/>
        </w:rPr>
        <w:fldChar w:fldCharType="begin"/>
      </w:r>
      <w:r>
        <w:rPr>
          <w:noProof/>
        </w:rPr>
        <w:instrText xml:space="preserve"> PAGEREF _Toc45704633 \h </w:instrText>
      </w:r>
      <w:r>
        <w:rPr>
          <w:noProof/>
        </w:rPr>
      </w:r>
      <w:r>
        <w:rPr>
          <w:noProof/>
        </w:rPr>
        <w:fldChar w:fldCharType="separate"/>
      </w:r>
      <w:r>
        <w:rPr>
          <w:noProof/>
        </w:rPr>
        <w:t>6</w:t>
      </w:r>
      <w:r>
        <w:rPr>
          <w:noProof/>
        </w:rPr>
        <w:fldChar w:fldCharType="end"/>
      </w:r>
    </w:p>
    <w:p w14:paraId="1413401E" w14:textId="77777777" w:rsidR="00255613" w:rsidRDefault="00255613">
      <w:pPr>
        <w:pStyle w:val="TOC3"/>
        <w:tabs>
          <w:tab w:val="left" w:pos="1200"/>
        </w:tabs>
        <w:rPr>
          <w:rFonts w:asciiTheme="minorHAnsi" w:eastAsiaTheme="minorEastAsia" w:hAnsiTheme="minorHAnsi" w:cstheme="minorBidi"/>
          <w:noProof/>
          <w:sz w:val="22"/>
          <w:szCs w:val="22"/>
          <w:lang w:val="en-US" w:eastAsia="en-US"/>
        </w:rPr>
      </w:pPr>
      <w:r w:rsidRPr="006E5E02">
        <w:rPr>
          <w:rFonts w:ascii="Helvetica 55 Roman" w:hAnsi="Helvetica 55 Roman"/>
          <w:noProof/>
        </w:rPr>
        <w:t>4.3.2</w:t>
      </w:r>
      <w:r>
        <w:rPr>
          <w:rFonts w:asciiTheme="minorHAnsi" w:eastAsiaTheme="minorEastAsia" w:hAnsiTheme="minorHAnsi" w:cstheme="minorBidi"/>
          <w:noProof/>
          <w:sz w:val="22"/>
          <w:szCs w:val="22"/>
          <w:lang w:val="en-US" w:eastAsia="en-US"/>
        </w:rPr>
        <w:tab/>
      </w:r>
      <w:r w:rsidRPr="006E5E02">
        <w:rPr>
          <w:rFonts w:ascii="Helvetica 55 Roman" w:hAnsi="Helvetica 55 Roman"/>
          <w:noProof/>
        </w:rPr>
        <w:t>Regular Ordering of Capacity</w:t>
      </w:r>
      <w:r>
        <w:rPr>
          <w:noProof/>
        </w:rPr>
        <w:tab/>
      </w:r>
      <w:r>
        <w:rPr>
          <w:noProof/>
        </w:rPr>
        <w:fldChar w:fldCharType="begin"/>
      </w:r>
      <w:r>
        <w:rPr>
          <w:noProof/>
        </w:rPr>
        <w:instrText xml:space="preserve"> PAGEREF _Toc45704634 \h </w:instrText>
      </w:r>
      <w:r>
        <w:rPr>
          <w:noProof/>
        </w:rPr>
      </w:r>
      <w:r>
        <w:rPr>
          <w:noProof/>
        </w:rPr>
        <w:fldChar w:fldCharType="separate"/>
      </w:r>
      <w:r>
        <w:rPr>
          <w:noProof/>
        </w:rPr>
        <w:t>7</w:t>
      </w:r>
      <w:r>
        <w:rPr>
          <w:noProof/>
        </w:rPr>
        <w:fldChar w:fldCharType="end"/>
      </w:r>
    </w:p>
    <w:p w14:paraId="418F72C0" w14:textId="77777777" w:rsidR="00255613" w:rsidRDefault="00255613">
      <w:pPr>
        <w:pStyle w:val="TOC3"/>
        <w:tabs>
          <w:tab w:val="left" w:pos="1200"/>
        </w:tabs>
        <w:rPr>
          <w:rFonts w:asciiTheme="minorHAnsi" w:eastAsiaTheme="minorEastAsia" w:hAnsiTheme="minorHAnsi" w:cstheme="minorBidi"/>
          <w:noProof/>
          <w:sz w:val="22"/>
          <w:szCs w:val="22"/>
          <w:lang w:val="en-US" w:eastAsia="en-US"/>
        </w:rPr>
      </w:pPr>
      <w:r w:rsidRPr="006E5E02">
        <w:rPr>
          <w:rFonts w:ascii="Helvetica 55 Roman" w:hAnsi="Helvetica 55 Roman"/>
          <w:noProof/>
        </w:rPr>
        <w:t>4.3.3</w:t>
      </w:r>
      <w:r>
        <w:rPr>
          <w:rFonts w:asciiTheme="minorHAnsi" w:eastAsiaTheme="minorEastAsia" w:hAnsiTheme="minorHAnsi" w:cstheme="minorBidi"/>
          <w:noProof/>
          <w:sz w:val="22"/>
          <w:szCs w:val="22"/>
          <w:lang w:val="en-US" w:eastAsia="en-US"/>
        </w:rPr>
        <w:tab/>
      </w:r>
      <w:r w:rsidRPr="006E5E02">
        <w:rPr>
          <w:rFonts w:ascii="Helvetica 55 Roman" w:hAnsi="Helvetica 55 Roman"/>
          <w:noProof/>
        </w:rPr>
        <w:t>Deviations</w:t>
      </w:r>
      <w:r>
        <w:rPr>
          <w:noProof/>
        </w:rPr>
        <w:tab/>
      </w:r>
      <w:r>
        <w:rPr>
          <w:noProof/>
        </w:rPr>
        <w:fldChar w:fldCharType="begin"/>
      </w:r>
      <w:r>
        <w:rPr>
          <w:noProof/>
        </w:rPr>
        <w:instrText xml:space="preserve"> PAGEREF _Toc45704635 \h </w:instrText>
      </w:r>
      <w:r>
        <w:rPr>
          <w:noProof/>
        </w:rPr>
      </w:r>
      <w:r>
        <w:rPr>
          <w:noProof/>
        </w:rPr>
        <w:fldChar w:fldCharType="separate"/>
      </w:r>
      <w:r>
        <w:rPr>
          <w:noProof/>
        </w:rPr>
        <w:t>7</w:t>
      </w:r>
      <w:r>
        <w:rPr>
          <w:noProof/>
        </w:rPr>
        <w:fldChar w:fldCharType="end"/>
      </w:r>
    </w:p>
    <w:p w14:paraId="3731FDE7" w14:textId="77777777" w:rsidR="00255613" w:rsidRDefault="00255613">
      <w:pPr>
        <w:pStyle w:val="TOC3"/>
        <w:tabs>
          <w:tab w:val="left" w:pos="1200"/>
        </w:tabs>
        <w:rPr>
          <w:rFonts w:asciiTheme="minorHAnsi" w:eastAsiaTheme="minorEastAsia" w:hAnsiTheme="minorHAnsi" w:cstheme="minorBidi"/>
          <w:noProof/>
          <w:sz w:val="22"/>
          <w:szCs w:val="22"/>
          <w:lang w:val="en-US" w:eastAsia="en-US"/>
        </w:rPr>
      </w:pPr>
      <w:r w:rsidRPr="006E5E02">
        <w:rPr>
          <w:rFonts w:ascii="Helvetica 55 Roman" w:hAnsi="Helvetica 55 Roman"/>
          <w:noProof/>
        </w:rPr>
        <w:t>4.3.4</w:t>
      </w:r>
      <w:r>
        <w:rPr>
          <w:rFonts w:asciiTheme="minorHAnsi" w:eastAsiaTheme="minorEastAsia" w:hAnsiTheme="minorHAnsi" w:cstheme="minorBidi"/>
          <w:noProof/>
          <w:sz w:val="22"/>
          <w:szCs w:val="22"/>
          <w:lang w:val="en-US" w:eastAsia="en-US"/>
        </w:rPr>
        <w:tab/>
      </w:r>
      <w:r w:rsidRPr="006E5E02">
        <w:rPr>
          <w:rFonts w:ascii="Helvetica 55 Roman" w:hAnsi="Helvetica 55 Roman"/>
          <w:noProof/>
        </w:rPr>
        <w:t>Order Acceptance</w:t>
      </w:r>
      <w:r>
        <w:rPr>
          <w:noProof/>
        </w:rPr>
        <w:tab/>
      </w:r>
      <w:r>
        <w:rPr>
          <w:noProof/>
        </w:rPr>
        <w:fldChar w:fldCharType="begin"/>
      </w:r>
      <w:r>
        <w:rPr>
          <w:noProof/>
        </w:rPr>
        <w:instrText xml:space="preserve"> PAGEREF _Toc45704636 \h </w:instrText>
      </w:r>
      <w:r>
        <w:rPr>
          <w:noProof/>
        </w:rPr>
      </w:r>
      <w:r>
        <w:rPr>
          <w:noProof/>
        </w:rPr>
        <w:fldChar w:fldCharType="separate"/>
      </w:r>
      <w:r>
        <w:rPr>
          <w:noProof/>
        </w:rPr>
        <w:t>8</w:t>
      </w:r>
      <w:r>
        <w:rPr>
          <w:noProof/>
        </w:rPr>
        <w:fldChar w:fldCharType="end"/>
      </w:r>
    </w:p>
    <w:p w14:paraId="13E64BB5" w14:textId="77777777" w:rsidR="00255613" w:rsidRDefault="00255613">
      <w:pPr>
        <w:pStyle w:val="TOC2"/>
        <w:tabs>
          <w:tab w:val="left" w:pos="960"/>
        </w:tabs>
        <w:rPr>
          <w:rFonts w:asciiTheme="minorHAnsi" w:eastAsiaTheme="minorEastAsia" w:hAnsiTheme="minorHAnsi" w:cstheme="minorBidi"/>
          <w:b w:val="0"/>
          <w:noProof/>
          <w:sz w:val="22"/>
          <w:szCs w:val="22"/>
          <w:lang w:val="en-US" w:eastAsia="en-US"/>
        </w:rPr>
      </w:pPr>
      <w:r w:rsidRPr="006E5E02">
        <w:rPr>
          <w:rFonts w:ascii="Helvetica 55 Roman" w:hAnsi="Helvetica 55 Roman"/>
          <w:noProof/>
        </w:rPr>
        <w:t>4.4</w:t>
      </w:r>
      <w:r>
        <w:rPr>
          <w:rFonts w:asciiTheme="minorHAnsi" w:eastAsiaTheme="minorEastAsia" w:hAnsiTheme="minorHAnsi" w:cstheme="minorBidi"/>
          <w:b w:val="0"/>
          <w:noProof/>
          <w:sz w:val="22"/>
          <w:szCs w:val="22"/>
          <w:lang w:val="en-US" w:eastAsia="en-US"/>
        </w:rPr>
        <w:tab/>
      </w:r>
      <w:r w:rsidRPr="006E5E02">
        <w:rPr>
          <w:rFonts w:ascii="Helvetica 55 Roman" w:hAnsi="Helvetica 55 Roman"/>
          <w:noProof/>
        </w:rPr>
        <w:t>Rush Orders</w:t>
      </w:r>
      <w:r>
        <w:rPr>
          <w:noProof/>
        </w:rPr>
        <w:tab/>
      </w:r>
      <w:r>
        <w:rPr>
          <w:noProof/>
        </w:rPr>
        <w:fldChar w:fldCharType="begin"/>
      </w:r>
      <w:r>
        <w:rPr>
          <w:noProof/>
        </w:rPr>
        <w:instrText xml:space="preserve"> PAGEREF _Toc45704637 \h </w:instrText>
      </w:r>
      <w:r>
        <w:rPr>
          <w:noProof/>
        </w:rPr>
      </w:r>
      <w:r>
        <w:rPr>
          <w:noProof/>
        </w:rPr>
        <w:fldChar w:fldCharType="separate"/>
      </w:r>
      <w:r>
        <w:rPr>
          <w:noProof/>
        </w:rPr>
        <w:t>8</w:t>
      </w:r>
      <w:r>
        <w:rPr>
          <w:noProof/>
        </w:rPr>
        <w:fldChar w:fldCharType="end"/>
      </w:r>
    </w:p>
    <w:p w14:paraId="04F3087E" w14:textId="77777777" w:rsidR="00255613" w:rsidRDefault="00255613">
      <w:pPr>
        <w:pStyle w:val="TOC1"/>
        <w:tabs>
          <w:tab w:val="left" w:pos="480"/>
        </w:tabs>
        <w:rPr>
          <w:rFonts w:asciiTheme="minorHAnsi" w:eastAsiaTheme="minorEastAsia" w:hAnsiTheme="minorHAnsi" w:cstheme="minorBidi"/>
          <w:b w:val="0"/>
          <w:caps w:val="0"/>
          <w:noProof/>
          <w:szCs w:val="22"/>
          <w:lang w:val="en-US" w:eastAsia="en-US"/>
        </w:rPr>
      </w:pPr>
      <w:r w:rsidRPr="006E5E02">
        <w:rPr>
          <w:rFonts w:ascii="Helvetica 55 Roman" w:hAnsi="Helvetica 55 Roman"/>
          <w:noProof/>
        </w:rPr>
        <w:t>5</w:t>
      </w:r>
      <w:r>
        <w:rPr>
          <w:rFonts w:asciiTheme="minorHAnsi" w:eastAsiaTheme="minorEastAsia" w:hAnsiTheme="minorHAnsi" w:cstheme="minorBidi"/>
          <w:b w:val="0"/>
          <w:caps w:val="0"/>
          <w:noProof/>
          <w:szCs w:val="22"/>
          <w:lang w:val="en-US" w:eastAsia="en-US"/>
        </w:rPr>
        <w:tab/>
      </w:r>
      <w:r w:rsidRPr="006E5E02">
        <w:rPr>
          <w:rFonts w:ascii="Helvetica 55 Roman" w:hAnsi="Helvetica 55 Roman"/>
          <w:noProof/>
        </w:rPr>
        <w:t>Lead times for provisioning</w:t>
      </w:r>
      <w:r>
        <w:rPr>
          <w:noProof/>
        </w:rPr>
        <w:tab/>
      </w:r>
      <w:r>
        <w:rPr>
          <w:noProof/>
        </w:rPr>
        <w:fldChar w:fldCharType="begin"/>
      </w:r>
      <w:r>
        <w:rPr>
          <w:noProof/>
        </w:rPr>
        <w:instrText xml:space="preserve"> PAGEREF _Toc45704638 \h </w:instrText>
      </w:r>
      <w:r>
        <w:rPr>
          <w:noProof/>
        </w:rPr>
      </w:r>
      <w:r>
        <w:rPr>
          <w:noProof/>
        </w:rPr>
        <w:fldChar w:fldCharType="separate"/>
      </w:r>
      <w:r>
        <w:rPr>
          <w:noProof/>
        </w:rPr>
        <w:t>9</w:t>
      </w:r>
      <w:r>
        <w:rPr>
          <w:noProof/>
        </w:rPr>
        <w:fldChar w:fldCharType="end"/>
      </w:r>
    </w:p>
    <w:p w14:paraId="7A9983EA" w14:textId="77777777" w:rsidR="00255613" w:rsidRDefault="00255613">
      <w:pPr>
        <w:pStyle w:val="TOC1"/>
        <w:tabs>
          <w:tab w:val="left" w:pos="480"/>
        </w:tabs>
        <w:rPr>
          <w:rFonts w:asciiTheme="minorHAnsi" w:eastAsiaTheme="minorEastAsia" w:hAnsiTheme="minorHAnsi" w:cstheme="minorBidi"/>
          <w:b w:val="0"/>
          <w:caps w:val="0"/>
          <w:noProof/>
          <w:szCs w:val="22"/>
          <w:lang w:val="en-US" w:eastAsia="en-US"/>
        </w:rPr>
      </w:pPr>
      <w:r w:rsidRPr="006E5E02">
        <w:rPr>
          <w:rFonts w:ascii="Helvetica 55 Roman" w:hAnsi="Helvetica 55 Roman"/>
          <w:noProof/>
        </w:rPr>
        <w:t>6</w:t>
      </w:r>
      <w:r>
        <w:rPr>
          <w:rFonts w:asciiTheme="minorHAnsi" w:eastAsiaTheme="minorEastAsia" w:hAnsiTheme="minorHAnsi" w:cstheme="minorBidi"/>
          <w:b w:val="0"/>
          <w:caps w:val="0"/>
          <w:noProof/>
          <w:szCs w:val="22"/>
          <w:lang w:val="en-US" w:eastAsia="en-US"/>
        </w:rPr>
        <w:tab/>
      </w:r>
      <w:r w:rsidRPr="006E5E02">
        <w:rPr>
          <w:rFonts w:ascii="Helvetica 55 Roman" w:hAnsi="Helvetica 55 Roman"/>
          <w:noProof/>
        </w:rPr>
        <w:t>Modification of an existing Interconnection</w:t>
      </w:r>
      <w:r>
        <w:rPr>
          <w:noProof/>
        </w:rPr>
        <w:tab/>
      </w:r>
      <w:r>
        <w:rPr>
          <w:noProof/>
        </w:rPr>
        <w:fldChar w:fldCharType="begin"/>
      </w:r>
      <w:r>
        <w:rPr>
          <w:noProof/>
        </w:rPr>
        <w:instrText xml:space="preserve"> PAGEREF _Toc45704639 \h </w:instrText>
      </w:r>
      <w:r>
        <w:rPr>
          <w:noProof/>
        </w:rPr>
      </w:r>
      <w:r>
        <w:rPr>
          <w:noProof/>
        </w:rPr>
        <w:fldChar w:fldCharType="separate"/>
      </w:r>
      <w:r>
        <w:rPr>
          <w:noProof/>
        </w:rPr>
        <w:t>9</w:t>
      </w:r>
      <w:r>
        <w:rPr>
          <w:noProof/>
        </w:rPr>
        <w:fldChar w:fldCharType="end"/>
      </w:r>
    </w:p>
    <w:p w14:paraId="6E66A669" w14:textId="77777777" w:rsidR="00255613" w:rsidRDefault="00255613">
      <w:pPr>
        <w:pStyle w:val="TOC2"/>
        <w:tabs>
          <w:tab w:val="left" w:pos="960"/>
        </w:tabs>
        <w:rPr>
          <w:rFonts w:asciiTheme="minorHAnsi" w:eastAsiaTheme="minorEastAsia" w:hAnsiTheme="minorHAnsi" w:cstheme="minorBidi"/>
          <w:b w:val="0"/>
          <w:noProof/>
          <w:sz w:val="22"/>
          <w:szCs w:val="22"/>
          <w:lang w:val="en-US" w:eastAsia="en-US"/>
        </w:rPr>
      </w:pPr>
      <w:r w:rsidRPr="006E5E02">
        <w:rPr>
          <w:rFonts w:ascii="Helvetica 55 Roman" w:hAnsi="Helvetica 55 Roman"/>
          <w:noProof/>
        </w:rPr>
        <w:t>6.1</w:t>
      </w:r>
      <w:r>
        <w:rPr>
          <w:rFonts w:asciiTheme="minorHAnsi" w:eastAsiaTheme="minorEastAsia" w:hAnsiTheme="minorHAnsi" w:cstheme="minorBidi"/>
          <w:b w:val="0"/>
          <w:noProof/>
          <w:sz w:val="22"/>
          <w:szCs w:val="22"/>
          <w:lang w:val="en-US" w:eastAsia="en-US"/>
        </w:rPr>
        <w:tab/>
      </w:r>
      <w:r w:rsidRPr="006E5E02">
        <w:rPr>
          <w:rFonts w:ascii="Helvetica 55 Roman" w:hAnsi="Helvetica 55 Roman"/>
          <w:noProof/>
        </w:rPr>
        <w:t>Removal of Capacity</w:t>
      </w:r>
      <w:r>
        <w:rPr>
          <w:noProof/>
        </w:rPr>
        <w:tab/>
      </w:r>
      <w:r>
        <w:rPr>
          <w:noProof/>
        </w:rPr>
        <w:fldChar w:fldCharType="begin"/>
      </w:r>
      <w:r>
        <w:rPr>
          <w:noProof/>
        </w:rPr>
        <w:instrText xml:space="preserve"> PAGEREF _Toc45704640 \h </w:instrText>
      </w:r>
      <w:r>
        <w:rPr>
          <w:noProof/>
        </w:rPr>
      </w:r>
      <w:r>
        <w:rPr>
          <w:noProof/>
        </w:rPr>
        <w:fldChar w:fldCharType="separate"/>
      </w:r>
      <w:r>
        <w:rPr>
          <w:noProof/>
        </w:rPr>
        <w:t>9</w:t>
      </w:r>
      <w:r>
        <w:rPr>
          <w:noProof/>
        </w:rPr>
        <w:fldChar w:fldCharType="end"/>
      </w:r>
    </w:p>
    <w:p w14:paraId="730AF477" w14:textId="77777777" w:rsidR="00255613" w:rsidRDefault="00255613">
      <w:pPr>
        <w:pStyle w:val="TOC2"/>
        <w:tabs>
          <w:tab w:val="left" w:pos="960"/>
        </w:tabs>
        <w:rPr>
          <w:rFonts w:asciiTheme="minorHAnsi" w:eastAsiaTheme="minorEastAsia" w:hAnsiTheme="minorHAnsi" w:cstheme="minorBidi"/>
          <w:b w:val="0"/>
          <w:noProof/>
          <w:sz w:val="22"/>
          <w:szCs w:val="22"/>
          <w:lang w:val="en-US" w:eastAsia="en-US"/>
        </w:rPr>
      </w:pPr>
      <w:r w:rsidRPr="006E5E02">
        <w:rPr>
          <w:rFonts w:ascii="Helvetica 55 Roman" w:hAnsi="Helvetica 55 Roman"/>
          <w:noProof/>
        </w:rPr>
        <w:t>6.2</w:t>
      </w:r>
      <w:r>
        <w:rPr>
          <w:rFonts w:asciiTheme="minorHAnsi" w:eastAsiaTheme="minorEastAsia" w:hAnsiTheme="minorHAnsi" w:cstheme="minorBidi"/>
          <w:b w:val="0"/>
          <w:noProof/>
          <w:sz w:val="22"/>
          <w:szCs w:val="22"/>
          <w:lang w:val="en-US" w:eastAsia="en-US"/>
        </w:rPr>
        <w:tab/>
      </w:r>
      <w:r w:rsidRPr="006E5E02">
        <w:rPr>
          <w:rFonts w:ascii="Helvetica 55 Roman" w:hAnsi="Helvetica 55 Roman"/>
          <w:noProof/>
        </w:rPr>
        <w:t>Re-arrangement of the Interconnection and Migrations</w:t>
      </w:r>
      <w:r>
        <w:rPr>
          <w:noProof/>
        </w:rPr>
        <w:tab/>
      </w:r>
      <w:r>
        <w:rPr>
          <w:noProof/>
        </w:rPr>
        <w:fldChar w:fldCharType="begin"/>
      </w:r>
      <w:r>
        <w:rPr>
          <w:noProof/>
        </w:rPr>
        <w:instrText xml:space="preserve"> PAGEREF _Toc45704641 \h </w:instrText>
      </w:r>
      <w:r>
        <w:rPr>
          <w:noProof/>
        </w:rPr>
      </w:r>
      <w:r>
        <w:rPr>
          <w:noProof/>
        </w:rPr>
        <w:fldChar w:fldCharType="separate"/>
      </w:r>
      <w:r>
        <w:rPr>
          <w:noProof/>
        </w:rPr>
        <w:t>9</w:t>
      </w:r>
      <w:r>
        <w:rPr>
          <w:noProof/>
        </w:rPr>
        <w:fldChar w:fldCharType="end"/>
      </w:r>
    </w:p>
    <w:p w14:paraId="06516FD9" w14:textId="77777777" w:rsidR="00255613" w:rsidRDefault="00255613">
      <w:pPr>
        <w:pStyle w:val="TOC1"/>
        <w:tabs>
          <w:tab w:val="left" w:pos="480"/>
        </w:tabs>
        <w:rPr>
          <w:rFonts w:asciiTheme="minorHAnsi" w:eastAsiaTheme="minorEastAsia" w:hAnsiTheme="minorHAnsi" w:cstheme="minorBidi"/>
          <w:b w:val="0"/>
          <w:caps w:val="0"/>
          <w:noProof/>
          <w:szCs w:val="22"/>
          <w:lang w:val="en-US" w:eastAsia="en-US"/>
        </w:rPr>
      </w:pPr>
      <w:r w:rsidRPr="006E5E02">
        <w:rPr>
          <w:rFonts w:ascii="Helvetica 55 Roman" w:hAnsi="Helvetica 55 Roman"/>
          <w:noProof/>
        </w:rPr>
        <w:t>7</w:t>
      </w:r>
      <w:r>
        <w:rPr>
          <w:rFonts w:asciiTheme="minorHAnsi" w:eastAsiaTheme="minorEastAsia" w:hAnsiTheme="minorHAnsi" w:cstheme="minorBidi"/>
          <w:b w:val="0"/>
          <w:caps w:val="0"/>
          <w:noProof/>
          <w:szCs w:val="22"/>
          <w:lang w:val="en-US" w:eastAsia="en-US"/>
        </w:rPr>
        <w:tab/>
      </w:r>
      <w:r w:rsidRPr="006E5E02">
        <w:rPr>
          <w:rFonts w:ascii="Helvetica 55 Roman" w:hAnsi="Helvetica 55 Roman"/>
          <w:noProof/>
        </w:rPr>
        <w:t>Routing Principles</w:t>
      </w:r>
      <w:r>
        <w:rPr>
          <w:noProof/>
        </w:rPr>
        <w:tab/>
      </w:r>
      <w:r>
        <w:rPr>
          <w:noProof/>
        </w:rPr>
        <w:fldChar w:fldCharType="begin"/>
      </w:r>
      <w:r>
        <w:rPr>
          <w:noProof/>
        </w:rPr>
        <w:instrText xml:space="preserve"> PAGEREF _Toc45704642 \h </w:instrText>
      </w:r>
      <w:r>
        <w:rPr>
          <w:noProof/>
        </w:rPr>
      </w:r>
      <w:r>
        <w:rPr>
          <w:noProof/>
        </w:rPr>
        <w:fldChar w:fldCharType="separate"/>
      </w:r>
      <w:r>
        <w:rPr>
          <w:noProof/>
        </w:rPr>
        <w:t>9</w:t>
      </w:r>
      <w:r>
        <w:rPr>
          <w:noProof/>
        </w:rPr>
        <w:fldChar w:fldCharType="end"/>
      </w:r>
    </w:p>
    <w:p w14:paraId="7D3C799F" w14:textId="77777777" w:rsidR="00255613" w:rsidRDefault="00255613">
      <w:pPr>
        <w:pStyle w:val="TOC1"/>
        <w:tabs>
          <w:tab w:val="left" w:pos="480"/>
        </w:tabs>
        <w:rPr>
          <w:rFonts w:asciiTheme="minorHAnsi" w:eastAsiaTheme="minorEastAsia" w:hAnsiTheme="minorHAnsi" w:cstheme="minorBidi"/>
          <w:b w:val="0"/>
          <w:caps w:val="0"/>
          <w:noProof/>
          <w:szCs w:val="22"/>
          <w:lang w:val="en-US" w:eastAsia="en-US"/>
        </w:rPr>
      </w:pPr>
      <w:r w:rsidRPr="006E5E02">
        <w:rPr>
          <w:rFonts w:ascii="Helvetica 55 Roman" w:hAnsi="Helvetica 55 Roman"/>
          <w:noProof/>
        </w:rPr>
        <w:t>8</w:t>
      </w:r>
      <w:r>
        <w:rPr>
          <w:rFonts w:asciiTheme="minorHAnsi" w:eastAsiaTheme="minorEastAsia" w:hAnsiTheme="minorHAnsi" w:cstheme="minorBidi"/>
          <w:b w:val="0"/>
          <w:caps w:val="0"/>
          <w:noProof/>
          <w:szCs w:val="22"/>
          <w:lang w:val="en-US" w:eastAsia="en-US"/>
        </w:rPr>
        <w:tab/>
      </w:r>
      <w:r w:rsidRPr="006E5E02">
        <w:rPr>
          <w:rFonts w:ascii="Helvetica 55 Roman" w:hAnsi="Helvetica 55 Roman"/>
          <w:noProof/>
        </w:rPr>
        <w:t>Signalling</w:t>
      </w:r>
      <w:r>
        <w:rPr>
          <w:noProof/>
        </w:rPr>
        <w:tab/>
      </w:r>
      <w:r>
        <w:rPr>
          <w:noProof/>
        </w:rPr>
        <w:fldChar w:fldCharType="begin"/>
      </w:r>
      <w:r>
        <w:rPr>
          <w:noProof/>
        </w:rPr>
        <w:instrText xml:space="preserve"> PAGEREF _Toc45704643 \h </w:instrText>
      </w:r>
      <w:r>
        <w:rPr>
          <w:noProof/>
        </w:rPr>
      </w:r>
      <w:r>
        <w:rPr>
          <w:noProof/>
        </w:rPr>
        <w:fldChar w:fldCharType="separate"/>
      </w:r>
      <w:r>
        <w:rPr>
          <w:noProof/>
        </w:rPr>
        <w:t>10</w:t>
      </w:r>
      <w:r>
        <w:rPr>
          <w:noProof/>
        </w:rPr>
        <w:fldChar w:fldCharType="end"/>
      </w:r>
    </w:p>
    <w:p w14:paraId="6DF667BF" w14:textId="77777777" w:rsidR="006470A6" w:rsidRPr="00AC56F7" w:rsidRDefault="006470A6">
      <w:pPr>
        <w:pStyle w:val="Titel"/>
        <w:rPr>
          <w:rFonts w:ascii="Helvetica 55 Roman" w:hAnsi="Helvetica 55 Roman"/>
          <w:caps/>
          <w:sz w:val="32"/>
        </w:rPr>
      </w:pPr>
      <w:r w:rsidRPr="00AC56F7">
        <w:rPr>
          <w:rFonts w:ascii="Helvetica 55 Roman" w:hAnsi="Helvetica 55 Roman"/>
          <w:caps/>
          <w:sz w:val="32"/>
        </w:rPr>
        <w:fldChar w:fldCharType="end"/>
      </w:r>
    </w:p>
    <w:p w14:paraId="6DF667C0" w14:textId="77777777" w:rsidR="006470A6" w:rsidRPr="00AC56F7" w:rsidRDefault="006470A6">
      <w:pPr>
        <w:pStyle w:val="Titel"/>
        <w:rPr>
          <w:rFonts w:ascii="Helvetica 55 Roman" w:hAnsi="Helvetica 55 Roman"/>
          <w:caps/>
          <w:sz w:val="32"/>
        </w:rPr>
      </w:pPr>
    </w:p>
    <w:p w14:paraId="6DF667C1" w14:textId="77777777" w:rsidR="006470A6" w:rsidRPr="00AC56F7" w:rsidRDefault="006470A6">
      <w:pPr>
        <w:pStyle w:val="Titel"/>
        <w:rPr>
          <w:rFonts w:ascii="Helvetica 55 Roman" w:hAnsi="Helvetica 55 Roman"/>
          <w:caps/>
          <w:sz w:val="32"/>
        </w:rPr>
      </w:pPr>
    </w:p>
    <w:p w14:paraId="6DF667C2" w14:textId="77777777" w:rsidR="006470A6" w:rsidRPr="00AC56F7" w:rsidRDefault="006470A6">
      <w:pPr>
        <w:pStyle w:val="Titel"/>
        <w:rPr>
          <w:rFonts w:ascii="Helvetica 55 Roman" w:hAnsi="Helvetica 55 Roman"/>
          <w:caps/>
          <w:sz w:val="32"/>
        </w:rPr>
      </w:pPr>
    </w:p>
    <w:p w14:paraId="6DF667C3" w14:textId="77777777" w:rsidR="006470A6" w:rsidRPr="00AC56F7" w:rsidRDefault="006470A6">
      <w:pPr>
        <w:pStyle w:val="Titel"/>
        <w:rPr>
          <w:rFonts w:ascii="Helvetica 55 Roman" w:hAnsi="Helvetica 55 Roman"/>
          <w:caps/>
          <w:sz w:val="32"/>
        </w:rPr>
      </w:pPr>
    </w:p>
    <w:p w14:paraId="6DF667C4" w14:textId="77777777" w:rsidR="006470A6" w:rsidRPr="00AC56F7" w:rsidRDefault="006470A6">
      <w:pPr>
        <w:pStyle w:val="Titel"/>
        <w:rPr>
          <w:rFonts w:ascii="Helvetica 55 Roman" w:hAnsi="Helvetica 55 Roman"/>
          <w:caps/>
          <w:sz w:val="32"/>
        </w:rPr>
      </w:pPr>
    </w:p>
    <w:p w14:paraId="6DF667C5" w14:textId="77777777" w:rsidR="006470A6" w:rsidRPr="00AC56F7" w:rsidRDefault="006470A6">
      <w:pPr>
        <w:pStyle w:val="Titel"/>
        <w:rPr>
          <w:rFonts w:ascii="Helvetica 55 Roman" w:hAnsi="Helvetica 55 Roman"/>
          <w:caps/>
          <w:sz w:val="32"/>
        </w:rPr>
      </w:pPr>
    </w:p>
    <w:p w14:paraId="6DF667C6" w14:textId="77777777" w:rsidR="006470A6" w:rsidRPr="00AC56F7" w:rsidRDefault="006470A6">
      <w:pPr>
        <w:pStyle w:val="Titel"/>
        <w:rPr>
          <w:rFonts w:ascii="Helvetica 55 Roman" w:hAnsi="Helvetica 55 Roman"/>
          <w:caps/>
          <w:sz w:val="32"/>
        </w:rPr>
      </w:pPr>
    </w:p>
    <w:p w14:paraId="6DF667C7" w14:textId="77777777" w:rsidR="006470A6" w:rsidRPr="00AC56F7" w:rsidRDefault="006470A6">
      <w:pPr>
        <w:pStyle w:val="Titel"/>
        <w:rPr>
          <w:rFonts w:ascii="Helvetica 55 Roman" w:hAnsi="Helvetica 55 Roman"/>
          <w:sz w:val="32"/>
        </w:rPr>
      </w:pPr>
    </w:p>
    <w:p w14:paraId="6DF667C8" w14:textId="77777777" w:rsidR="00B7027F" w:rsidRPr="00AC56F7" w:rsidRDefault="00B7027F">
      <w:pPr>
        <w:spacing w:before="0" w:after="0"/>
        <w:rPr>
          <w:rFonts w:ascii="Helvetica 55 Roman" w:hAnsi="Helvetica 55 Roman"/>
          <w:b/>
          <w:kern w:val="28"/>
          <w:sz w:val="28"/>
        </w:rPr>
      </w:pPr>
      <w:r w:rsidRPr="00AC56F7">
        <w:rPr>
          <w:rFonts w:ascii="Helvetica 55 Roman" w:hAnsi="Helvetica 55 Roman"/>
        </w:rPr>
        <w:br w:type="page"/>
      </w:r>
    </w:p>
    <w:p w14:paraId="6DF667C9" w14:textId="77777777" w:rsidR="006470A6" w:rsidRPr="00AC56F7" w:rsidRDefault="006470A6">
      <w:pPr>
        <w:pStyle w:val="Heading1"/>
        <w:jc w:val="both"/>
        <w:rPr>
          <w:rFonts w:ascii="Helvetica 55 Roman" w:hAnsi="Helvetica 55 Roman"/>
        </w:rPr>
      </w:pPr>
      <w:bookmarkStart w:id="0" w:name="_Toc45704624"/>
      <w:r w:rsidRPr="00AC56F7">
        <w:rPr>
          <w:rFonts w:ascii="Helvetica 55 Roman" w:hAnsi="Helvetica 55 Roman"/>
        </w:rPr>
        <w:lastRenderedPageBreak/>
        <w:t>Scope</w:t>
      </w:r>
      <w:bookmarkEnd w:id="0"/>
    </w:p>
    <w:p w14:paraId="6DF667CA" w14:textId="4D32803E" w:rsidR="006470A6" w:rsidRPr="00226AD8" w:rsidRDefault="006470A6">
      <w:pPr>
        <w:jc w:val="both"/>
        <w:rPr>
          <w:rFonts w:ascii="Helvetica 55 Roman" w:hAnsi="Helvetica 55 Roman"/>
          <w:sz w:val="20"/>
        </w:rPr>
      </w:pPr>
      <w:r w:rsidRPr="00226AD8">
        <w:rPr>
          <w:rFonts w:ascii="Helvetica 55 Roman" w:hAnsi="Helvetica 55 Roman"/>
          <w:sz w:val="20"/>
        </w:rPr>
        <w:t>This Document describes the implementation principles</w:t>
      </w:r>
      <w:r w:rsidR="005B311F">
        <w:rPr>
          <w:rFonts w:ascii="Helvetica 55 Roman" w:hAnsi="Helvetica 55 Roman"/>
          <w:sz w:val="20"/>
        </w:rPr>
        <w:t xml:space="preserve"> and operational maintenance</w:t>
      </w:r>
      <w:r w:rsidRPr="00226AD8">
        <w:rPr>
          <w:rFonts w:ascii="Helvetica 55 Roman" w:hAnsi="Helvetica 55 Roman"/>
          <w:sz w:val="20"/>
        </w:rPr>
        <w:t xml:space="preserve">, related to the Interconnection between </w:t>
      </w:r>
      <w:r w:rsidR="006850D4" w:rsidRPr="00226AD8">
        <w:rPr>
          <w:rFonts w:ascii="Helvetica 55 Roman" w:hAnsi="Helvetica 55 Roman"/>
          <w:sz w:val="20"/>
        </w:rPr>
        <w:t>Orange Belgium</w:t>
      </w:r>
      <w:r w:rsidRPr="00226AD8">
        <w:rPr>
          <w:rFonts w:ascii="Helvetica 55 Roman" w:hAnsi="Helvetica 55 Roman"/>
          <w:sz w:val="20"/>
        </w:rPr>
        <w:t xml:space="preserve">'s Network and </w:t>
      </w:r>
      <w:r w:rsidR="00F861E0">
        <w:rPr>
          <w:rFonts w:ascii="Helvetica 55 Roman" w:hAnsi="Helvetica 55 Roman"/>
          <w:sz w:val="20"/>
        </w:rPr>
        <w:t>Operator</w:t>
      </w:r>
      <w:r w:rsidRPr="00226AD8">
        <w:rPr>
          <w:rFonts w:ascii="Helvetica 55 Roman" w:hAnsi="Helvetica 55 Roman"/>
          <w:sz w:val="20"/>
        </w:rPr>
        <w:t xml:space="preserve">'s Network. It contains provisions on the </w:t>
      </w:r>
      <w:r w:rsidR="00BA1484">
        <w:rPr>
          <w:rFonts w:ascii="Helvetica 55 Roman" w:hAnsi="Helvetica 55 Roman"/>
          <w:sz w:val="20"/>
        </w:rPr>
        <w:t>maintenance</w:t>
      </w:r>
      <w:r w:rsidRPr="00226AD8">
        <w:rPr>
          <w:rFonts w:ascii="Helvetica 55 Roman" w:hAnsi="Helvetica 55 Roman"/>
          <w:sz w:val="20"/>
        </w:rPr>
        <w:t xml:space="preserve"> and implementation of services provided under this Agreement regarding Interconnect Services.</w:t>
      </w:r>
    </w:p>
    <w:p w14:paraId="6DF667CB" w14:textId="77777777" w:rsidR="006470A6" w:rsidRPr="00AC56F7" w:rsidRDefault="006470A6" w:rsidP="00BA1484">
      <w:pPr>
        <w:pStyle w:val="Heading1"/>
        <w:rPr>
          <w:rFonts w:ascii="Helvetica 55 Roman" w:hAnsi="Helvetica 55 Roman"/>
        </w:rPr>
      </w:pPr>
      <w:bookmarkStart w:id="1" w:name="_Toc45704625"/>
      <w:r w:rsidRPr="00AC56F7">
        <w:rPr>
          <w:rFonts w:ascii="Helvetica 55 Roman" w:hAnsi="Helvetica 55 Roman"/>
        </w:rPr>
        <w:t>Technical Interconnection Meetings (TIC meetings)</w:t>
      </w:r>
      <w:bookmarkEnd w:id="1"/>
      <w:r w:rsidRPr="00AC56F7">
        <w:rPr>
          <w:rFonts w:ascii="Helvetica 55 Roman" w:hAnsi="Helvetica 55 Roman"/>
        </w:rPr>
        <w:t xml:space="preserve"> </w:t>
      </w:r>
    </w:p>
    <w:p w14:paraId="6DF667CC" w14:textId="2389F418" w:rsidR="005B311F" w:rsidRDefault="005B311F" w:rsidP="00BA1484">
      <w:pPr>
        <w:jc w:val="both"/>
        <w:rPr>
          <w:rFonts w:ascii="Helvetica 55 Roman" w:hAnsi="Helvetica 55 Roman"/>
          <w:sz w:val="20"/>
        </w:rPr>
      </w:pPr>
      <w:r>
        <w:rPr>
          <w:rFonts w:ascii="Helvetica 55 Roman" w:hAnsi="Helvetica 55 Roman"/>
          <w:sz w:val="20"/>
        </w:rPr>
        <w:t>Both Parties have</w:t>
      </w:r>
      <w:r w:rsidRPr="00226AD8">
        <w:rPr>
          <w:rFonts w:ascii="Helvetica 55 Roman" w:hAnsi="Helvetica 55 Roman"/>
          <w:sz w:val="20"/>
        </w:rPr>
        <w:t xml:space="preserve"> appointed a member of </w:t>
      </w:r>
      <w:r>
        <w:rPr>
          <w:rFonts w:ascii="Helvetica 55 Roman" w:hAnsi="Helvetica 55 Roman"/>
          <w:sz w:val="20"/>
        </w:rPr>
        <w:t>their</w:t>
      </w:r>
      <w:r w:rsidRPr="00226AD8">
        <w:rPr>
          <w:rFonts w:ascii="Helvetica 55 Roman" w:hAnsi="Helvetica 55 Roman"/>
          <w:sz w:val="20"/>
        </w:rPr>
        <w:t xml:space="preserve"> staff as Technical Interconnect Single Point of Contact (T-SPOC) for all matters related to the technical Interconnection between </w:t>
      </w:r>
      <w:r w:rsidR="00F861E0">
        <w:rPr>
          <w:rFonts w:ascii="Helvetica 55 Roman" w:hAnsi="Helvetica 55 Roman"/>
          <w:sz w:val="20"/>
        </w:rPr>
        <w:t>Operator</w:t>
      </w:r>
      <w:r w:rsidRPr="00226AD8">
        <w:rPr>
          <w:rFonts w:ascii="Helvetica 55 Roman" w:hAnsi="Helvetica 55 Roman"/>
          <w:sz w:val="20"/>
        </w:rPr>
        <w:t>’</w:t>
      </w:r>
      <w:r w:rsidR="00BA1484">
        <w:rPr>
          <w:rFonts w:ascii="Helvetica 55 Roman" w:hAnsi="Helvetica 55 Roman"/>
          <w:sz w:val="20"/>
        </w:rPr>
        <w:t xml:space="preserve"> </w:t>
      </w:r>
      <w:r w:rsidRPr="00226AD8">
        <w:rPr>
          <w:rFonts w:ascii="Helvetica 55 Roman" w:hAnsi="Helvetica 55 Roman"/>
          <w:sz w:val="20"/>
        </w:rPr>
        <w:t xml:space="preserve">Network and Orange Belgium's Network. </w:t>
      </w:r>
    </w:p>
    <w:p w14:paraId="6DF667CD" w14:textId="77777777" w:rsidR="005B311F" w:rsidRPr="00226AD8" w:rsidRDefault="005B311F" w:rsidP="00BA1484">
      <w:pPr>
        <w:jc w:val="both"/>
        <w:rPr>
          <w:rFonts w:ascii="Helvetica 55 Roman" w:hAnsi="Helvetica 55 Roman"/>
          <w:sz w:val="20"/>
        </w:rPr>
      </w:pPr>
      <w:r>
        <w:rPr>
          <w:rFonts w:ascii="Helvetica 55 Roman" w:hAnsi="Helvetica 55 Roman"/>
          <w:sz w:val="20"/>
        </w:rPr>
        <w:t>Both Parties’</w:t>
      </w:r>
      <w:r w:rsidR="00BA1484">
        <w:rPr>
          <w:rFonts w:ascii="Helvetica 55 Roman" w:hAnsi="Helvetica 55 Roman"/>
          <w:sz w:val="20"/>
        </w:rPr>
        <w:t xml:space="preserve"> </w:t>
      </w:r>
      <w:r w:rsidRPr="00226AD8">
        <w:rPr>
          <w:rFonts w:ascii="Helvetica 55 Roman" w:hAnsi="Helvetica 55 Roman"/>
          <w:sz w:val="20"/>
        </w:rPr>
        <w:t>Interconnection manager</w:t>
      </w:r>
      <w:r>
        <w:rPr>
          <w:rFonts w:ascii="Helvetica 55 Roman" w:hAnsi="Helvetica 55 Roman"/>
          <w:sz w:val="20"/>
        </w:rPr>
        <w:t xml:space="preserve">s </w:t>
      </w:r>
      <w:r w:rsidRPr="00226AD8">
        <w:rPr>
          <w:rFonts w:ascii="Helvetica 55 Roman" w:hAnsi="Helvetica 55 Roman"/>
          <w:sz w:val="20"/>
        </w:rPr>
        <w:t>will act as a commercial SPOC (C-SPOC) and will lead commercial interconnect negotiations. Any change in the identi</w:t>
      </w:r>
      <w:r>
        <w:rPr>
          <w:rFonts w:ascii="Helvetica 55 Roman" w:hAnsi="Helvetica 55 Roman"/>
          <w:sz w:val="20"/>
        </w:rPr>
        <w:t>ty of the C-SPOC or the T-SPOC should be</w:t>
      </w:r>
      <w:r w:rsidRPr="00226AD8">
        <w:rPr>
          <w:rFonts w:ascii="Helvetica 55 Roman" w:hAnsi="Helvetica 55 Roman"/>
          <w:sz w:val="20"/>
        </w:rPr>
        <w:t xml:space="preserve"> communicated within a reasonable timeframe by </w:t>
      </w:r>
      <w:r>
        <w:rPr>
          <w:rFonts w:ascii="Helvetica 55 Roman" w:hAnsi="Helvetica 55 Roman"/>
          <w:sz w:val="20"/>
        </w:rPr>
        <w:t>the both Parties</w:t>
      </w:r>
      <w:r w:rsidRPr="00226AD8">
        <w:rPr>
          <w:rFonts w:ascii="Helvetica 55 Roman" w:hAnsi="Helvetica 55 Roman"/>
          <w:sz w:val="20"/>
        </w:rPr>
        <w:t xml:space="preserve">. </w:t>
      </w:r>
    </w:p>
    <w:p w14:paraId="6DF667CE" w14:textId="77777777" w:rsidR="006470A6" w:rsidRPr="00226AD8" w:rsidRDefault="006470A6" w:rsidP="00BA1484">
      <w:pPr>
        <w:jc w:val="both"/>
        <w:rPr>
          <w:rFonts w:ascii="Helvetica 55 Roman" w:hAnsi="Helvetica 55 Roman"/>
          <w:sz w:val="20"/>
        </w:rPr>
      </w:pPr>
      <w:r w:rsidRPr="00226AD8">
        <w:rPr>
          <w:rFonts w:ascii="Helvetica 55 Roman" w:hAnsi="Helvetica 55 Roman"/>
          <w:sz w:val="20"/>
        </w:rPr>
        <w:t>A Technical Interconnection Meeting will be</w:t>
      </w:r>
      <w:r w:rsidR="00226AD8">
        <w:rPr>
          <w:rFonts w:ascii="Helvetica 55 Roman" w:hAnsi="Helvetica 55 Roman"/>
          <w:sz w:val="20"/>
        </w:rPr>
        <w:t xml:space="preserve"> organized</w:t>
      </w:r>
      <w:r w:rsidRPr="00226AD8">
        <w:rPr>
          <w:rFonts w:ascii="Helvetica 55 Roman" w:hAnsi="Helvetica 55 Roman"/>
          <w:sz w:val="20"/>
        </w:rPr>
        <w:t xml:space="preserve"> </w:t>
      </w:r>
      <w:r w:rsidR="00226AD8">
        <w:rPr>
          <w:rFonts w:ascii="Helvetica 55 Roman" w:hAnsi="Helvetica 55 Roman"/>
          <w:sz w:val="20"/>
        </w:rPr>
        <w:t>upon request</w:t>
      </w:r>
      <w:r w:rsidRPr="00226AD8">
        <w:rPr>
          <w:rFonts w:ascii="Helvetica 55 Roman" w:hAnsi="Helvetica 55 Roman"/>
          <w:sz w:val="20"/>
        </w:rPr>
        <w:t>, at the dates agreed by the Parties. At Technical Interconnection Meetings, the Parties may discuss any technical issue as may arise in their Networks in the context of the Interconnection between them. In particular, and without prejudice to the right of the Parties that any other technical issue as defined in the preceding sentence be discussed, the following issues shall be discussed during Technical Interconnection Meetings:</w:t>
      </w:r>
    </w:p>
    <w:p w14:paraId="6DF667CF" w14:textId="77777777" w:rsidR="006470A6" w:rsidRPr="00226AD8" w:rsidRDefault="00226AD8" w:rsidP="00E14ABC">
      <w:pPr>
        <w:pStyle w:val="Optie"/>
        <w:numPr>
          <w:ilvl w:val="0"/>
          <w:numId w:val="2"/>
        </w:numPr>
        <w:jc w:val="both"/>
        <w:rPr>
          <w:rFonts w:ascii="Helvetica 55 Roman" w:hAnsi="Helvetica 55 Roman"/>
          <w:sz w:val="20"/>
        </w:rPr>
      </w:pPr>
      <w:r>
        <w:rPr>
          <w:rFonts w:ascii="Helvetica 55 Roman" w:hAnsi="Helvetica 55 Roman"/>
          <w:sz w:val="20"/>
        </w:rPr>
        <w:t>T</w:t>
      </w:r>
      <w:r w:rsidR="006470A6" w:rsidRPr="00226AD8">
        <w:rPr>
          <w:rFonts w:ascii="Helvetica 55 Roman" w:hAnsi="Helvetica 55 Roman"/>
          <w:sz w:val="20"/>
        </w:rPr>
        <w:t xml:space="preserve">he Parties’ Forecasts, Firm Orders and related RFS dates </w:t>
      </w:r>
    </w:p>
    <w:p w14:paraId="6DF667D0" w14:textId="77777777" w:rsidR="006470A6" w:rsidRPr="00226AD8" w:rsidRDefault="00226AD8" w:rsidP="00E14ABC">
      <w:pPr>
        <w:pStyle w:val="Optie"/>
        <w:numPr>
          <w:ilvl w:val="0"/>
          <w:numId w:val="2"/>
        </w:numPr>
        <w:jc w:val="both"/>
        <w:rPr>
          <w:rFonts w:ascii="Helvetica 55 Roman" w:hAnsi="Helvetica 55 Roman"/>
          <w:sz w:val="20"/>
        </w:rPr>
      </w:pPr>
      <w:r>
        <w:rPr>
          <w:rFonts w:ascii="Helvetica 55 Roman" w:hAnsi="Helvetica 55 Roman"/>
          <w:sz w:val="20"/>
        </w:rPr>
        <w:t>F</w:t>
      </w:r>
      <w:r w:rsidR="006470A6" w:rsidRPr="00226AD8">
        <w:rPr>
          <w:rFonts w:ascii="Helvetica 55 Roman" w:hAnsi="Helvetica 55 Roman"/>
          <w:sz w:val="20"/>
        </w:rPr>
        <w:t>ollow-up of the implementation of previous Capacity Orders; and</w:t>
      </w:r>
    </w:p>
    <w:p w14:paraId="6DF667D1" w14:textId="77777777" w:rsidR="006470A6" w:rsidRPr="00226AD8" w:rsidRDefault="006470A6" w:rsidP="00E14ABC">
      <w:pPr>
        <w:pStyle w:val="Optie"/>
        <w:numPr>
          <w:ilvl w:val="0"/>
          <w:numId w:val="2"/>
        </w:numPr>
        <w:jc w:val="both"/>
        <w:rPr>
          <w:rFonts w:ascii="Helvetica 55 Roman" w:hAnsi="Helvetica 55 Roman"/>
          <w:sz w:val="20"/>
        </w:rPr>
      </w:pPr>
      <w:r w:rsidRPr="00226AD8">
        <w:rPr>
          <w:rFonts w:ascii="Helvetica 55 Roman" w:hAnsi="Helvetica 55 Roman"/>
          <w:sz w:val="20"/>
        </w:rPr>
        <w:t>Interconnection outages and measures intended to protect and improve the Quality of Service of the Interconnect Services.</w:t>
      </w:r>
    </w:p>
    <w:p w14:paraId="6DF667D2" w14:textId="77777777" w:rsidR="006470A6" w:rsidRPr="00226AD8" w:rsidRDefault="006470A6" w:rsidP="00E14ABC">
      <w:pPr>
        <w:pStyle w:val="Optie"/>
        <w:numPr>
          <w:ilvl w:val="0"/>
          <w:numId w:val="2"/>
        </w:numPr>
        <w:jc w:val="both"/>
        <w:rPr>
          <w:rFonts w:ascii="Helvetica 55 Roman" w:hAnsi="Helvetica 55 Roman"/>
          <w:sz w:val="20"/>
        </w:rPr>
      </w:pPr>
      <w:r w:rsidRPr="00226AD8">
        <w:rPr>
          <w:rFonts w:ascii="Helvetica 55 Roman" w:hAnsi="Helvetica 55 Roman"/>
          <w:sz w:val="20"/>
        </w:rPr>
        <w:t>Planned operations and impacts.</w:t>
      </w:r>
    </w:p>
    <w:p w14:paraId="6DF667D3" w14:textId="77777777" w:rsidR="006470A6" w:rsidRPr="00226AD8" w:rsidRDefault="006470A6" w:rsidP="00E14ABC">
      <w:pPr>
        <w:pStyle w:val="Optie"/>
        <w:numPr>
          <w:ilvl w:val="0"/>
          <w:numId w:val="2"/>
        </w:numPr>
        <w:jc w:val="both"/>
        <w:rPr>
          <w:rFonts w:ascii="Helvetica 55 Roman" w:hAnsi="Helvetica 55 Roman"/>
          <w:sz w:val="20"/>
        </w:rPr>
      </w:pPr>
      <w:r w:rsidRPr="00226AD8">
        <w:rPr>
          <w:rFonts w:ascii="Helvetica 55 Roman" w:hAnsi="Helvetica 55 Roman"/>
          <w:sz w:val="20"/>
        </w:rPr>
        <w:t>Trouble Tickets (TT) handling.</w:t>
      </w:r>
    </w:p>
    <w:p w14:paraId="6DF667D4" w14:textId="77777777" w:rsidR="006470A6" w:rsidRPr="00226AD8" w:rsidRDefault="006470A6" w:rsidP="00E14ABC">
      <w:pPr>
        <w:pStyle w:val="Optie"/>
        <w:numPr>
          <w:ilvl w:val="0"/>
          <w:numId w:val="2"/>
        </w:numPr>
        <w:jc w:val="both"/>
        <w:rPr>
          <w:rFonts w:ascii="Helvetica 55 Roman" w:hAnsi="Helvetica 55 Roman"/>
          <w:sz w:val="20"/>
        </w:rPr>
      </w:pPr>
      <w:r w:rsidRPr="00226AD8">
        <w:rPr>
          <w:rFonts w:ascii="Helvetica 55 Roman" w:hAnsi="Helvetica 55 Roman"/>
          <w:sz w:val="20"/>
        </w:rPr>
        <w:t>Any other technical subject</w:t>
      </w:r>
      <w:r w:rsidR="009C4F3D">
        <w:rPr>
          <w:rFonts w:ascii="Helvetica 55 Roman" w:hAnsi="Helvetica 55 Roman"/>
          <w:sz w:val="20"/>
        </w:rPr>
        <w:t>.</w:t>
      </w:r>
    </w:p>
    <w:p w14:paraId="6DF667D5" w14:textId="77777777" w:rsidR="006470A6" w:rsidRPr="00226AD8" w:rsidRDefault="006470A6" w:rsidP="00BA1484">
      <w:pPr>
        <w:jc w:val="both"/>
        <w:rPr>
          <w:rFonts w:ascii="Helvetica 55 Roman" w:hAnsi="Helvetica 55 Roman"/>
          <w:sz w:val="20"/>
        </w:rPr>
      </w:pPr>
      <w:r w:rsidRPr="00226AD8">
        <w:rPr>
          <w:rFonts w:ascii="Helvetica 55 Roman" w:hAnsi="Helvetica 55 Roman"/>
          <w:sz w:val="20"/>
        </w:rPr>
        <w:t>The group of participants in the Technical Interconnection Meetings is called the Technical Implementation Committee (TIC). Each Party’s team will be led by a duly authorised T-SPOC or its Deputy.</w:t>
      </w:r>
    </w:p>
    <w:p w14:paraId="6DF667D6" w14:textId="77777777" w:rsidR="006470A6" w:rsidRPr="00226AD8" w:rsidRDefault="006470A6" w:rsidP="00BA1484">
      <w:pPr>
        <w:jc w:val="both"/>
        <w:rPr>
          <w:rFonts w:ascii="Helvetica 55 Roman" w:hAnsi="Helvetica 55 Roman"/>
          <w:sz w:val="20"/>
        </w:rPr>
      </w:pPr>
      <w:r w:rsidRPr="00226AD8">
        <w:rPr>
          <w:rFonts w:ascii="Helvetica 55 Roman" w:hAnsi="Helvetica 55 Roman"/>
          <w:sz w:val="20"/>
        </w:rPr>
        <w:t xml:space="preserve">When the TIC comes to an agreement about a particular issue, it will be stated in the minutes of the meeting. When the TIC cannot come to an agreement about a topic, it will also be stated in the minutes of the meeting, and the matter will be put on the agenda of the Interconnection Coordination Group. The Interconnection Coordination Group, at which </w:t>
      </w:r>
      <w:r w:rsidR="006850D4" w:rsidRPr="00226AD8">
        <w:rPr>
          <w:rFonts w:ascii="Helvetica 55 Roman" w:hAnsi="Helvetica 55 Roman"/>
          <w:sz w:val="20"/>
        </w:rPr>
        <w:t>Orange Belgium</w:t>
      </w:r>
      <w:r w:rsidRPr="00226AD8">
        <w:rPr>
          <w:rFonts w:ascii="Helvetica 55 Roman" w:hAnsi="Helvetica 55 Roman"/>
          <w:sz w:val="20"/>
        </w:rPr>
        <w:t xml:space="preserve"> is represented by the C-SPOC, is in charge of discussing the commercial &amp; strategic issues related to the Interconnection of the two Parties’ Networks.</w:t>
      </w:r>
    </w:p>
    <w:p w14:paraId="6DF667D7" w14:textId="77777777" w:rsidR="006470A6" w:rsidRPr="00226AD8" w:rsidRDefault="006470A6" w:rsidP="00BA1484">
      <w:pPr>
        <w:jc w:val="both"/>
        <w:rPr>
          <w:rFonts w:ascii="Helvetica 55 Roman" w:hAnsi="Helvetica 55 Roman"/>
          <w:sz w:val="20"/>
        </w:rPr>
      </w:pPr>
      <w:r w:rsidRPr="00226AD8">
        <w:rPr>
          <w:rFonts w:ascii="Helvetica 55 Roman" w:hAnsi="Helvetica 55 Roman"/>
          <w:sz w:val="20"/>
        </w:rPr>
        <w:t>The minutes of each TIC meeting shall be provided within a five (5) Working Day period. The document provided to the receiving Party shall be validated by and binding for the sending Party. The receiving Party shall have five (5) Working Days to validate it and after its validation be bound by it. In the event that the receiving Party transmits comments on the draft report within the five (5) Working Day period, the other Party will again have a five (5) Working Day period to transmit either its validation of the comments or to transmit comments on the comments.</w:t>
      </w:r>
      <w:bookmarkStart w:id="2" w:name="_Ref420734250"/>
    </w:p>
    <w:p w14:paraId="6DF667D8" w14:textId="77777777" w:rsidR="006470A6" w:rsidRPr="00226AD8" w:rsidRDefault="006470A6" w:rsidP="00BA1484">
      <w:pPr>
        <w:jc w:val="both"/>
        <w:rPr>
          <w:rFonts w:ascii="Helvetica 55 Roman" w:hAnsi="Helvetica 55 Roman"/>
          <w:sz w:val="20"/>
        </w:rPr>
      </w:pPr>
    </w:p>
    <w:p w14:paraId="6DF667D9" w14:textId="77777777" w:rsidR="006470A6" w:rsidRPr="00AC56F7" w:rsidRDefault="006470A6">
      <w:pPr>
        <w:pStyle w:val="Heading1"/>
        <w:jc w:val="both"/>
        <w:rPr>
          <w:rFonts w:ascii="Helvetica 55 Roman" w:hAnsi="Helvetica 55 Roman"/>
        </w:rPr>
      </w:pPr>
      <w:bookmarkStart w:id="3" w:name="_Ref5101919"/>
      <w:bookmarkStart w:id="4" w:name="_Toc45704626"/>
      <w:r w:rsidRPr="00AC56F7">
        <w:rPr>
          <w:rFonts w:ascii="Helvetica 55 Roman" w:hAnsi="Helvetica 55 Roman"/>
        </w:rPr>
        <w:t>Responsibilities</w:t>
      </w:r>
      <w:bookmarkEnd w:id="2"/>
      <w:bookmarkEnd w:id="3"/>
      <w:bookmarkEnd w:id="4"/>
    </w:p>
    <w:p w14:paraId="6DF667DA" w14:textId="77777777" w:rsidR="006470A6" w:rsidRPr="00226AD8" w:rsidRDefault="006470A6">
      <w:pPr>
        <w:jc w:val="both"/>
        <w:rPr>
          <w:rFonts w:ascii="Helvetica 55 Roman" w:hAnsi="Helvetica 55 Roman"/>
          <w:sz w:val="20"/>
        </w:rPr>
      </w:pPr>
      <w:bookmarkStart w:id="5" w:name="_Ref416237892"/>
      <w:r w:rsidRPr="00226AD8">
        <w:rPr>
          <w:rFonts w:ascii="Helvetica 55 Roman" w:hAnsi="Helvetica 55 Roman"/>
          <w:sz w:val="20"/>
        </w:rPr>
        <w:t>The responsibilities of the Parties, with respect to the Forecasting and Ordering of I</w:t>
      </w:r>
      <w:r w:rsidR="00226AD8">
        <w:rPr>
          <w:rFonts w:ascii="Helvetica 55 Roman" w:hAnsi="Helvetica 55 Roman"/>
          <w:sz w:val="20"/>
        </w:rPr>
        <w:t>P</w:t>
      </w:r>
      <w:r w:rsidRPr="00226AD8">
        <w:rPr>
          <w:rFonts w:ascii="Helvetica 55 Roman" w:hAnsi="Helvetica 55 Roman"/>
          <w:sz w:val="20"/>
        </w:rPr>
        <w:t xml:space="preserve"> Links conveyin</w:t>
      </w:r>
      <w:r w:rsidR="005B311F">
        <w:rPr>
          <w:rFonts w:ascii="Helvetica 55 Roman" w:hAnsi="Helvetica 55 Roman"/>
          <w:sz w:val="20"/>
        </w:rPr>
        <w:t>g their respective Interconnect</w:t>
      </w:r>
      <w:r w:rsidR="00BA1484">
        <w:rPr>
          <w:rFonts w:ascii="Helvetica 55 Roman" w:hAnsi="Helvetica 55 Roman"/>
          <w:sz w:val="20"/>
        </w:rPr>
        <w:t xml:space="preserve"> t</w:t>
      </w:r>
      <w:r w:rsidRPr="00226AD8">
        <w:rPr>
          <w:rFonts w:ascii="Helvetica 55 Roman" w:hAnsi="Helvetica 55 Roman"/>
          <w:sz w:val="20"/>
        </w:rPr>
        <w:t xml:space="preserve">raffic, are defined in the relevant Service Plans. </w:t>
      </w:r>
    </w:p>
    <w:p w14:paraId="6DF667DB" w14:textId="50A1429A" w:rsidR="006470A6" w:rsidRPr="00226AD8" w:rsidRDefault="006470A6">
      <w:pPr>
        <w:jc w:val="both"/>
        <w:rPr>
          <w:rFonts w:ascii="Helvetica 55 Roman" w:hAnsi="Helvetica 55 Roman"/>
          <w:sz w:val="20"/>
        </w:rPr>
      </w:pPr>
      <w:r w:rsidRPr="00226AD8">
        <w:rPr>
          <w:rFonts w:ascii="Helvetica 55 Roman" w:hAnsi="Helvetica 55 Roman"/>
          <w:sz w:val="20"/>
        </w:rPr>
        <w:t xml:space="preserve">Each Service Plan included in the Interconnect Agreement indicates whether it is </w:t>
      </w:r>
      <w:r w:rsidR="006850D4" w:rsidRPr="00226AD8">
        <w:rPr>
          <w:rFonts w:ascii="Helvetica 55 Roman" w:hAnsi="Helvetica 55 Roman"/>
          <w:sz w:val="20"/>
        </w:rPr>
        <w:t>Orange Belgium</w:t>
      </w:r>
      <w:r w:rsidRPr="00226AD8">
        <w:rPr>
          <w:rFonts w:ascii="Helvetica 55 Roman" w:hAnsi="Helvetica 55 Roman"/>
          <w:sz w:val="20"/>
        </w:rPr>
        <w:t xml:space="preserve"> or </w:t>
      </w:r>
      <w:r w:rsidR="00F861E0">
        <w:rPr>
          <w:rFonts w:ascii="Helvetica 55 Roman" w:hAnsi="Helvetica 55 Roman"/>
          <w:sz w:val="20"/>
        </w:rPr>
        <w:t>Operator</w:t>
      </w:r>
      <w:r w:rsidRPr="00226AD8">
        <w:rPr>
          <w:rFonts w:ascii="Helvetica 55 Roman" w:hAnsi="Helvetica 55 Roman"/>
          <w:sz w:val="20"/>
        </w:rPr>
        <w:t xml:space="preserve"> that is responsible for the Forecasting and </w:t>
      </w:r>
      <w:r w:rsidR="005B311F">
        <w:rPr>
          <w:rFonts w:ascii="Helvetica 55 Roman" w:hAnsi="Helvetica 55 Roman"/>
          <w:sz w:val="20"/>
        </w:rPr>
        <w:t>dimensioning of the needed capacity</w:t>
      </w:r>
      <w:r w:rsidRPr="00226AD8">
        <w:rPr>
          <w:rFonts w:ascii="Helvetica 55 Roman" w:hAnsi="Helvetica 55 Roman"/>
          <w:sz w:val="20"/>
        </w:rPr>
        <w:t xml:space="preserve"> in respect of the Interconnect Traffic under the Service Plan concerned. If </w:t>
      </w:r>
      <w:r w:rsidR="006850D4" w:rsidRPr="00226AD8">
        <w:rPr>
          <w:rFonts w:ascii="Helvetica 55 Roman" w:hAnsi="Helvetica 55 Roman"/>
          <w:sz w:val="20"/>
        </w:rPr>
        <w:t>Orange Belgium</w:t>
      </w:r>
      <w:r w:rsidRPr="00226AD8">
        <w:rPr>
          <w:rFonts w:ascii="Helvetica 55 Roman" w:hAnsi="Helvetica 55 Roman"/>
          <w:sz w:val="20"/>
        </w:rPr>
        <w:t xml:space="preserve"> is responsible for such Forecasting and </w:t>
      </w:r>
      <w:r w:rsidR="005B311F">
        <w:rPr>
          <w:rFonts w:ascii="Helvetica 55 Roman" w:hAnsi="Helvetica 55 Roman"/>
          <w:sz w:val="20"/>
        </w:rPr>
        <w:t>dimensioning of the needed capacity</w:t>
      </w:r>
      <w:r w:rsidRPr="00226AD8">
        <w:rPr>
          <w:rFonts w:ascii="Helvetica 55 Roman" w:hAnsi="Helvetica 55 Roman"/>
          <w:sz w:val="20"/>
        </w:rPr>
        <w:t xml:space="preserve">, then the Interconnect Traffic under that Service Plan is called </w:t>
      </w:r>
      <w:r w:rsidR="00226AD8" w:rsidRPr="005B311F">
        <w:rPr>
          <w:rFonts w:ascii="Helvetica 55 Roman" w:hAnsi="Helvetica 55 Roman"/>
          <w:b/>
          <w:sz w:val="20"/>
        </w:rPr>
        <w:t>O</w:t>
      </w:r>
      <w:r w:rsidRPr="005B311F">
        <w:rPr>
          <w:rFonts w:ascii="Helvetica 55 Roman" w:hAnsi="Helvetica 55 Roman"/>
          <w:b/>
          <w:sz w:val="20"/>
        </w:rPr>
        <w:t>RT (</w:t>
      </w:r>
      <w:r w:rsidR="006850D4" w:rsidRPr="005B311F">
        <w:rPr>
          <w:rFonts w:ascii="Helvetica 55 Roman" w:hAnsi="Helvetica 55 Roman"/>
          <w:b/>
          <w:sz w:val="20"/>
        </w:rPr>
        <w:t>Orange Belgium</w:t>
      </w:r>
      <w:r w:rsidRPr="005B311F">
        <w:rPr>
          <w:rFonts w:ascii="Helvetica 55 Roman" w:hAnsi="Helvetica 55 Roman"/>
          <w:b/>
          <w:sz w:val="20"/>
        </w:rPr>
        <w:t xml:space="preserve"> Responsible Traffic).</w:t>
      </w:r>
      <w:r w:rsidRPr="00226AD8">
        <w:rPr>
          <w:rFonts w:ascii="Helvetica 55 Roman" w:hAnsi="Helvetica 55 Roman"/>
          <w:sz w:val="20"/>
        </w:rPr>
        <w:t xml:space="preserve"> If </w:t>
      </w:r>
      <w:r w:rsidR="00F861E0">
        <w:rPr>
          <w:rFonts w:ascii="Helvetica 55 Roman" w:hAnsi="Helvetica 55 Roman"/>
          <w:sz w:val="20"/>
        </w:rPr>
        <w:t>Operator</w:t>
      </w:r>
      <w:r w:rsidRPr="00226AD8">
        <w:rPr>
          <w:rFonts w:ascii="Helvetica 55 Roman" w:hAnsi="Helvetica 55 Roman"/>
          <w:sz w:val="20"/>
        </w:rPr>
        <w:t xml:space="preserve"> is responsible for such </w:t>
      </w:r>
      <w:r w:rsidRPr="00226AD8">
        <w:rPr>
          <w:rFonts w:ascii="Helvetica 55 Roman" w:hAnsi="Helvetica 55 Roman"/>
          <w:sz w:val="20"/>
        </w:rPr>
        <w:lastRenderedPageBreak/>
        <w:t xml:space="preserve">Forecasting and </w:t>
      </w:r>
      <w:r w:rsidR="005B311F">
        <w:rPr>
          <w:rFonts w:ascii="Helvetica 55 Roman" w:hAnsi="Helvetica 55 Roman"/>
          <w:sz w:val="20"/>
        </w:rPr>
        <w:t>dimensioning of the needed capacity</w:t>
      </w:r>
      <w:r w:rsidRPr="00226AD8">
        <w:rPr>
          <w:rFonts w:ascii="Helvetica 55 Roman" w:hAnsi="Helvetica 55 Roman"/>
          <w:sz w:val="20"/>
        </w:rPr>
        <w:t xml:space="preserve">, then the Interconnect Traffic under that Service Plan is called </w:t>
      </w:r>
      <w:r w:rsidR="009C4F3D" w:rsidRPr="005B311F">
        <w:rPr>
          <w:rFonts w:ascii="Helvetica 55 Roman" w:hAnsi="Helvetica 55 Roman"/>
          <w:b/>
          <w:sz w:val="20"/>
        </w:rPr>
        <w:t>NRT</w:t>
      </w:r>
      <w:r w:rsidRPr="005B311F">
        <w:rPr>
          <w:rFonts w:ascii="Helvetica 55 Roman" w:hAnsi="Helvetica 55 Roman"/>
          <w:b/>
          <w:sz w:val="20"/>
        </w:rPr>
        <w:t xml:space="preserve"> (</w:t>
      </w:r>
      <w:r w:rsidR="00F861E0">
        <w:rPr>
          <w:rFonts w:ascii="Helvetica 55 Roman" w:hAnsi="Helvetica 55 Roman"/>
          <w:b/>
          <w:sz w:val="20"/>
        </w:rPr>
        <w:t>Operator</w:t>
      </w:r>
      <w:r w:rsidRPr="005B311F">
        <w:rPr>
          <w:rFonts w:ascii="Helvetica 55 Roman" w:hAnsi="Helvetica 55 Roman"/>
          <w:b/>
          <w:sz w:val="20"/>
        </w:rPr>
        <w:t xml:space="preserve"> Responsible Traffic).</w:t>
      </w:r>
    </w:p>
    <w:p w14:paraId="6DF667DC" w14:textId="77777777" w:rsidR="006470A6" w:rsidRPr="00226AD8" w:rsidRDefault="006470A6">
      <w:pPr>
        <w:jc w:val="both"/>
        <w:rPr>
          <w:rFonts w:ascii="Helvetica 55 Roman" w:hAnsi="Helvetica 55 Roman"/>
          <w:sz w:val="20"/>
        </w:rPr>
      </w:pPr>
      <w:r w:rsidRPr="00226AD8">
        <w:rPr>
          <w:rFonts w:ascii="Helvetica 55 Roman" w:hAnsi="Helvetica 55 Roman"/>
          <w:sz w:val="20"/>
        </w:rPr>
        <w:t xml:space="preserve">A summary of </w:t>
      </w:r>
      <w:r w:rsidR="00226AD8">
        <w:rPr>
          <w:rFonts w:ascii="Helvetica 55 Roman" w:hAnsi="Helvetica 55 Roman"/>
          <w:sz w:val="20"/>
        </w:rPr>
        <w:t>O</w:t>
      </w:r>
      <w:r w:rsidRPr="00226AD8">
        <w:rPr>
          <w:rFonts w:ascii="Helvetica 55 Roman" w:hAnsi="Helvetica 55 Roman"/>
          <w:sz w:val="20"/>
        </w:rPr>
        <w:t xml:space="preserve">RT and </w:t>
      </w:r>
      <w:r w:rsidR="009C4F3D">
        <w:rPr>
          <w:rFonts w:ascii="Helvetica 55 Roman" w:hAnsi="Helvetica 55 Roman"/>
          <w:sz w:val="20"/>
        </w:rPr>
        <w:t>NRT</w:t>
      </w:r>
      <w:r w:rsidRPr="00226AD8">
        <w:rPr>
          <w:rFonts w:ascii="Helvetica 55 Roman" w:hAnsi="Helvetica 55 Roman"/>
          <w:sz w:val="20"/>
        </w:rPr>
        <w:t xml:space="preserve"> is provided below and should be read together with the specific conditions set out in each Service Plan. If there are exceptions to the general rules stated below, then they will be clearly indicated in the related Service Plans. In the event of differences, the information contained in the Service Plans prevails over the information summarised below.</w:t>
      </w:r>
    </w:p>
    <w:p w14:paraId="6DF667DD" w14:textId="77777777" w:rsidR="006470A6" w:rsidRPr="00AC56F7" w:rsidRDefault="00226AD8" w:rsidP="00BF31A2">
      <w:pPr>
        <w:pStyle w:val="Heading2"/>
        <w:ind w:left="576"/>
        <w:jc w:val="both"/>
        <w:rPr>
          <w:rFonts w:ascii="Helvetica 55 Roman" w:hAnsi="Helvetica 55 Roman"/>
        </w:rPr>
      </w:pPr>
      <w:bookmarkStart w:id="6" w:name="_Ref440276222"/>
      <w:bookmarkStart w:id="7" w:name="_Toc45704627"/>
      <w:r>
        <w:rPr>
          <w:rFonts w:ascii="Helvetica 55 Roman" w:hAnsi="Helvetica 55 Roman"/>
        </w:rPr>
        <w:t>O</w:t>
      </w:r>
      <w:r w:rsidR="006470A6" w:rsidRPr="00AC56F7">
        <w:rPr>
          <w:rFonts w:ascii="Helvetica 55 Roman" w:hAnsi="Helvetica 55 Roman"/>
        </w:rPr>
        <w:t>RT (</w:t>
      </w:r>
      <w:r w:rsidR="006850D4" w:rsidRPr="00AC56F7">
        <w:rPr>
          <w:rFonts w:ascii="Helvetica 55 Roman" w:hAnsi="Helvetica 55 Roman"/>
        </w:rPr>
        <w:t>ORANGE BELGIUM</w:t>
      </w:r>
      <w:r w:rsidR="006470A6" w:rsidRPr="00AC56F7">
        <w:rPr>
          <w:rFonts w:ascii="Helvetica 55 Roman" w:hAnsi="Helvetica 55 Roman"/>
        </w:rPr>
        <w:t xml:space="preserve"> Responsible Traffic</w:t>
      </w:r>
      <w:bookmarkEnd w:id="5"/>
      <w:bookmarkEnd w:id="6"/>
      <w:r w:rsidR="006470A6" w:rsidRPr="00AC56F7">
        <w:rPr>
          <w:rFonts w:ascii="Helvetica 55 Roman" w:hAnsi="Helvetica 55 Roman"/>
        </w:rPr>
        <w:t>)</w:t>
      </w:r>
      <w:bookmarkEnd w:id="7"/>
    </w:p>
    <w:p w14:paraId="6DF667DE" w14:textId="77777777" w:rsidR="006470A6" w:rsidRPr="00226AD8" w:rsidRDefault="00226AD8">
      <w:pPr>
        <w:jc w:val="both"/>
        <w:rPr>
          <w:rFonts w:ascii="Helvetica 55 Roman" w:hAnsi="Helvetica 55 Roman"/>
          <w:sz w:val="20"/>
        </w:rPr>
      </w:pPr>
      <w:r w:rsidRPr="00226AD8">
        <w:rPr>
          <w:rFonts w:ascii="Helvetica 55 Roman" w:hAnsi="Helvetica 55 Roman"/>
          <w:sz w:val="20"/>
        </w:rPr>
        <w:t>O</w:t>
      </w:r>
      <w:r w:rsidR="006470A6" w:rsidRPr="00226AD8">
        <w:rPr>
          <w:rFonts w:ascii="Helvetica 55 Roman" w:hAnsi="Helvetica 55 Roman"/>
          <w:sz w:val="20"/>
        </w:rPr>
        <w:t>RT includes:</w:t>
      </w:r>
    </w:p>
    <w:p w14:paraId="6DF667DF" w14:textId="55BF3A2B" w:rsidR="006470A6" w:rsidRPr="00226AD8" w:rsidRDefault="006470A6" w:rsidP="00E14ABC">
      <w:pPr>
        <w:pStyle w:val="Optie"/>
        <w:numPr>
          <w:ilvl w:val="0"/>
          <w:numId w:val="1"/>
        </w:numPr>
        <w:ind w:left="284" w:hanging="284"/>
        <w:jc w:val="both"/>
        <w:rPr>
          <w:rFonts w:ascii="Helvetica 55 Roman" w:hAnsi="Helvetica 55 Roman"/>
          <w:sz w:val="20"/>
        </w:rPr>
      </w:pPr>
      <w:r w:rsidRPr="00226AD8">
        <w:rPr>
          <w:rFonts w:ascii="Helvetica 55 Roman" w:hAnsi="Helvetica 55 Roman"/>
          <w:sz w:val="20"/>
        </w:rPr>
        <w:t xml:space="preserve">Calls conveyed from </w:t>
      </w:r>
      <w:r w:rsidR="006850D4" w:rsidRPr="00226AD8">
        <w:rPr>
          <w:rFonts w:ascii="Helvetica 55 Roman" w:hAnsi="Helvetica 55 Roman"/>
          <w:sz w:val="20"/>
        </w:rPr>
        <w:t>Orange Belgium</w:t>
      </w:r>
      <w:r w:rsidRPr="00226AD8">
        <w:rPr>
          <w:rFonts w:ascii="Helvetica 55 Roman" w:hAnsi="Helvetica 55 Roman"/>
          <w:sz w:val="20"/>
        </w:rPr>
        <w:t xml:space="preserve">'s Network to </w:t>
      </w:r>
      <w:r w:rsidR="00F861E0">
        <w:rPr>
          <w:rFonts w:ascii="Helvetica 55 Roman" w:hAnsi="Helvetica 55 Roman"/>
          <w:sz w:val="20"/>
        </w:rPr>
        <w:t>Operator</w:t>
      </w:r>
      <w:r w:rsidRPr="00226AD8">
        <w:rPr>
          <w:rFonts w:ascii="Helvetica 55 Roman" w:hAnsi="Helvetica 55 Roman"/>
          <w:sz w:val="20"/>
        </w:rPr>
        <w:t xml:space="preserve">’s Network, to be terminated in or through </w:t>
      </w:r>
      <w:r w:rsidR="00F861E0">
        <w:rPr>
          <w:rFonts w:ascii="Helvetica 55 Roman" w:hAnsi="Helvetica 55 Roman"/>
          <w:sz w:val="20"/>
        </w:rPr>
        <w:t>Operator</w:t>
      </w:r>
      <w:r w:rsidRPr="00226AD8">
        <w:rPr>
          <w:rFonts w:ascii="Helvetica 55 Roman" w:hAnsi="Helvetica 55 Roman"/>
          <w:sz w:val="20"/>
        </w:rPr>
        <w:t xml:space="preserve">’s </w:t>
      </w:r>
      <w:proofErr w:type="gramStart"/>
      <w:r w:rsidRPr="00226AD8">
        <w:rPr>
          <w:rFonts w:ascii="Helvetica 55 Roman" w:hAnsi="Helvetica 55 Roman"/>
          <w:sz w:val="20"/>
        </w:rPr>
        <w:t>Network;</w:t>
      </w:r>
      <w:proofErr w:type="gramEnd"/>
    </w:p>
    <w:p w14:paraId="6DF667E0" w14:textId="48E35CEF" w:rsidR="006470A6" w:rsidRPr="00226AD8" w:rsidRDefault="00F861E0" w:rsidP="00E14ABC">
      <w:pPr>
        <w:pStyle w:val="Optie"/>
        <w:numPr>
          <w:ilvl w:val="0"/>
          <w:numId w:val="1"/>
        </w:numPr>
        <w:ind w:left="284" w:hanging="284"/>
        <w:jc w:val="both"/>
        <w:rPr>
          <w:rFonts w:ascii="Helvetica 55 Roman" w:hAnsi="Helvetica 55 Roman"/>
          <w:sz w:val="20"/>
        </w:rPr>
      </w:pPr>
      <w:r>
        <w:rPr>
          <w:rFonts w:ascii="Helvetica 55 Roman" w:hAnsi="Helvetica 55 Roman"/>
          <w:sz w:val="20"/>
        </w:rPr>
        <w:t>Operator</w:t>
      </w:r>
      <w:r w:rsidR="006470A6" w:rsidRPr="00226AD8">
        <w:rPr>
          <w:rFonts w:ascii="Helvetica 55 Roman" w:hAnsi="Helvetica 55 Roman"/>
          <w:sz w:val="20"/>
        </w:rPr>
        <w:t xml:space="preserve"> Calls conveyed from </w:t>
      </w:r>
      <w:r>
        <w:rPr>
          <w:rFonts w:ascii="Helvetica 55 Roman" w:hAnsi="Helvetica 55 Roman"/>
          <w:sz w:val="20"/>
        </w:rPr>
        <w:t>Operator</w:t>
      </w:r>
      <w:r w:rsidR="006470A6" w:rsidRPr="00226AD8">
        <w:rPr>
          <w:rFonts w:ascii="Helvetica 55 Roman" w:hAnsi="Helvetica 55 Roman"/>
          <w:sz w:val="20"/>
        </w:rPr>
        <w:t xml:space="preserve">'s Network to </w:t>
      </w:r>
      <w:r w:rsidR="006850D4" w:rsidRPr="00226AD8">
        <w:rPr>
          <w:rFonts w:ascii="Helvetica 55 Roman" w:hAnsi="Helvetica 55 Roman"/>
          <w:sz w:val="20"/>
        </w:rPr>
        <w:t>Orange Belgium</w:t>
      </w:r>
      <w:r w:rsidR="006470A6" w:rsidRPr="00226AD8">
        <w:rPr>
          <w:rFonts w:ascii="Helvetica 55 Roman" w:hAnsi="Helvetica 55 Roman"/>
          <w:sz w:val="20"/>
        </w:rPr>
        <w:t xml:space="preserve"> Network in order to reach the </w:t>
      </w:r>
      <w:proofErr w:type="gramStart"/>
      <w:r w:rsidR="006470A6" w:rsidRPr="00226AD8">
        <w:rPr>
          <w:rFonts w:ascii="Helvetica 55 Roman" w:hAnsi="Helvetica 55 Roman"/>
          <w:sz w:val="20"/>
        </w:rPr>
        <w:t>Value Added</w:t>
      </w:r>
      <w:proofErr w:type="gramEnd"/>
      <w:r w:rsidR="006470A6" w:rsidRPr="00226AD8">
        <w:rPr>
          <w:rFonts w:ascii="Helvetica 55 Roman" w:hAnsi="Helvetica 55 Roman"/>
          <w:sz w:val="20"/>
        </w:rPr>
        <w:t xml:space="preserve"> Services offered by </w:t>
      </w:r>
      <w:r w:rsidR="006850D4" w:rsidRPr="00226AD8">
        <w:rPr>
          <w:rFonts w:ascii="Helvetica 55 Roman" w:hAnsi="Helvetica 55 Roman"/>
          <w:sz w:val="20"/>
        </w:rPr>
        <w:t>Orange Belgium</w:t>
      </w:r>
      <w:r w:rsidR="006470A6" w:rsidRPr="00226AD8">
        <w:rPr>
          <w:rFonts w:ascii="Helvetica 55 Roman" w:hAnsi="Helvetica 55 Roman"/>
          <w:sz w:val="20"/>
        </w:rPr>
        <w:t xml:space="preserve"> or by other OLOs.</w:t>
      </w:r>
    </w:p>
    <w:p w14:paraId="6DF667E1" w14:textId="77777777" w:rsidR="006470A6" w:rsidRPr="00226AD8" w:rsidRDefault="006470A6" w:rsidP="00E14ABC">
      <w:pPr>
        <w:pStyle w:val="Optie"/>
        <w:numPr>
          <w:ilvl w:val="0"/>
          <w:numId w:val="1"/>
        </w:numPr>
        <w:ind w:left="284" w:hanging="284"/>
        <w:jc w:val="both"/>
        <w:rPr>
          <w:rFonts w:ascii="Helvetica 55 Roman" w:hAnsi="Helvetica 55 Roman"/>
          <w:sz w:val="20"/>
        </w:rPr>
      </w:pPr>
      <w:r w:rsidRPr="00226AD8">
        <w:rPr>
          <w:rFonts w:ascii="Helvetica 55 Roman" w:hAnsi="Helvetica 55 Roman"/>
          <w:sz w:val="20"/>
        </w:rPr>
        <w:t>All other traffic types as defined in service plans.</w:t>
      </w:r>
    </w:p>
    <w:p w14:paraId="6DF667E2" w14:textId="6D517702" w:rsidR="006470A6" w:rsidRPr="00AC56F7" w:rsidRDefault="009C4F3D" w:rsidP="00BF31A2">
      <w:pPr>
        <w:pStyle w:val="Heading2"/>
        <w:ind w:left="576"/>
        <w:jc w:val="both"/>
        <w:rPr>
          <w:rFonts w:ascii="Helvetica 55 Roman" w:hAnsi="Helvetica 55 Roman"/>
        </w:rPr>
      </w:pPr>
      <w:bookmarkStart w:id="8" w:name="_Ref416237866"/>
      <w:bookmarkStart w:id="9" w:name="_Toc45704628"/>
      <w:r>
        <w:rPr>
          <w:rFonts w:ascii="Helvetica 55 Roman" w:hAnsi="Helvetica 55 Roman"/>
        </w:rPr>
        <w:t>NRT</w:t>
      </w:r>
      <w:r w:rsidR="006470A6" w:rsidRPr="00AC56F7">
        <w:rPr>
          <w:rFonts w:ascii="Helvetica 55 Roman" w:hAnsi="Helvetica 55 Roman"/>
        </w:rPr>
        <w:t xml:space="preserve"> (</w:t>
      </w:r>
      <w:r w:rsidR="00F861E0">
        <w:rPr>
          <w:rFonts w:ascii="Helvetica 55 Roman" w:hAnsi="Helvetica 55 Roman"/>
        </w:rPr>
        <w:t>Operator</w:t>
      </w:r>
      <w:r w:rsidR="006470A6" w:rsidRPr="00AC56F7">
        <w:rPr>
          <w:rFonts w:ascii="Helvetica 55 Roman" w:hAnsi="Helvetica 55 Roman"/>
        </w:rPr>
        <w:t>’s Responsible</w:t>
      </w:r>
      <w:r w:rsidR="00BF31A2">
        <w:rPr>
          <w:rFonts w:ascii="Helvetica 55 Roman" w:hAnsi="Helvetica 55 Roman"/>
        </w:rPr>
        <w:t xml:space="preserve"> </w:t>
      </w:r>
      <w:r w:rsidR="006470A6" w:rsidRPr="00AC56F7">
        <w:rPr>
          <w:rFonts w:ascii="Helvetica 55 Roman" w:hAnsi="Helvetica 55 Roman"/>
        </w:rPr>
        <w:t>Traffic</w:t>
      </w:r>
      <w:bookmarkEnd w:id="8"/>
      <w:r w:rsidR="006470A6" w:rsidRPr="00AC56F7">
        <w:rPr>
          <w:rFonts w:ascii="Helvetica 55 Roman" w:hAnsi="Helvetica 55 Roman"/>
        </w:rPr>
        <w:t>)</w:t>
      </w:r>
      <w:bookmarkEnd w:id="9"/>
    </w:p>
    <w:p w14:paraId="6DF667E3" w14:textId="77777777" w:rsidR="006470A6" w:rsidRPr="00226AD8" w:rsidRDefault="009C4F3D">
      <w:pPr>
        <w:jc w:val="both"/>
        <w:rPr>
          <w:rFonts w:ascii="Helvetica 55 Roman" w:hAnsi="Helvetica 55 Roman"/>
          <w:sz w:val="20"/>
        </w:rPr>
      </w:pPr>
      <w:r>
        <w:rPr>
          <w:rFonts w:ascii="Helvetica 55 Roman" w:hAnsi="Helvetica 55 Roman"/>
          <w:sz w:val="20"/>
        </w:rPr>
        <w:t>NRT</w:t>
      </w:r>
      <w:r w:rsidR="006470A6" w:rsidRPr="00226AD8">
        <w:rPr>
          <w:rFonts w:ascii="Helvetica 55 Roman" w:hAnsi="Helvetica 55 Roman"/>
          <w:sz w:val="20"/>
        </w:rPr>
        <w:t xml:space="preserve"> includes:</w:t>
      </w:r>
    </w:p>
    <w:p w14:paraId="6DF667E4" w14:textId="07C7926E" w:rsidR="00AE34B9" w:rsidRDefault="006470A6" w:rsidP="00E14ABC">
      <w:pPr>
        <w:pStyle w:val="Optie"/>
        <w:numPr>
          <w:ilvl w:val="0"/>
          <w:numId w:val="1"/>
        </w:numPr>
        <w:ind w:left="284" w:hanging="284"/>
        <w:jc w:val="both"/>
        <w:rPr>
          <w:rFonts w:ascii="Helvetica 55 Roman" w:hAnsi="Helvetica 55 Roman"/>
          <w:sz w:val="20"/>
        </w:rPr>
      </w:pPr>
      <w:r w:rsidRPr="00AE34B9">
        <w:rPr>
          <w:rFonts w:ascii="Helvetica 55 Roman" w:hAnsi="Helvetica 55 Roman"/>
          <w:sz w:val="20"/>
        </w:rPr>
        <w:t xml:space="preserve">Calls conveyed from </w:t>
      </w:r>
      <w:r w:rsidR="00F861E0">
        <w:rPr>
          <w:rFonts w:ascii="Helvetica 55 Roman" w:hAnsi="Helvetica 55 Roman"/>
          <w:sz w:val="20"/>
        </w:rPr>
        <w:t>Operator</w:t>
      </w:r>
      <w:r w:rsidRPr="00AE34B9">
        <w:rPr>
          <w:rFonts w:ascii="Helvetica 55 Roman" w:hAnsi="Helvetica 55 Roman"/>
          <w:sz w:val="20"/>
        </w:rPr>
        <w:t xml:space="preserve">’s Network to </w:t>
      </w:r>
      <w:r w:rsidR="006850D4" w:rsidRPr="00AE34B9">
        <w:rPr>
          <w:rFonts w:ascii="Helvetica 55 Roman" w:hAnsi="Helvetica 55 Roman"/>
          <w:sz w:val="20"/>
        </w:rPr>
        <w:t>Orange Belgium</w:t>
      </w:r>
      <w:r w:rsidRPr="00AE34B9">
        <w:rPr>
          <w:rFonts w:ascii="Helvetica 55 Roman" w:hAnsi="Helvetica 55 Roman"/>
          <w:sz w:val="20"/>
        </w:rPr>
        <w:t xml:space="preserve">'s Network, to be terminated in or through </w:t>
      </w:r>
      <w:r w:rsidR="006850D4" w:rsidRPr="00AE34B9">
        <w:rPr>
          <w:rFonts w:ascii="Helvetica 55 Roman" w:hAnsi="Helvetica 55 Roman"/>
          <w:sz w:val="20"/>
        </w:rPr>
        <w:t>Orange Belgium</w:t>
      </w:r>
      <w:r w:rsidRPr="00AE34B9">
        <w:rPr>
          <w:rFonts w:ascii="Helvetica 55 Roman" w:hAnsi="Helvetica 55 Roman"/>
          <w:sz w:val="20"/>
        </w:rPr>
        <w:t xml:space="preserve">'s </w:t>
      </w:r>
      <w:proofErr w:type="gramStart"/>
      <w:r w:rsidRPr="00AE34B9">
        <w:rPr>
          <w:rFonts w:ascii="Helvetica 55 Roman" w:hAnsi="Helvetica 55 Roman"/>
          <w:sz w:val="20"/>
        </w:rPr>
        <w:t>Network</w:t>
      </w:r>
      <w:r w:rsidR="00AE34B9">
        <w:rPr>
          <w:rFonts w:ascii="Helvetica 55 Roman" w:hAnsi="Helvetica 55 Roman"/>
          <w:sz w:val="20"/>
        </w:rPr>
        <w:t>;</w:t>
      </w:r>
      <w:proofErr w:type="gramEnd"/>
    </w:p>
    <w:p w14:paraId="6DF667E5" w14:textId="136A7D9C" w:rsidR="006470A6" w:rsidRPr="00AE34B9" w:rsidRDefault="006850D4" w:rsidP="00E14ABC">
      <w:pPr>
        <w:pStyle w:val="Optie"/>
        <w:numPr>
          <w:ilvl w:val="0"/>
          <w:numId w:val="1"/>
        </w:numPr>
        <w:ind w:left="284" w:hanging="284"/>
        <w:jc w:val="both"/>
        <w:rPr>
          <w:rFonts w:ascii="Helvetica 55 Roman" w:hAnsi="Helvetica 55 Roman"/>
          <w:sz w:val="20"/>
        </w:rPr>
      </w:pPr>
      <w:r w:rsidRPr="00AE34B9">
        <w:rPr>
          <w:rFonts w:ascii="Helvetica 55 Roman" w:hAnsi="Helvetica 55 Roman"/>
          <w:sz w:val="20"/>
        </w:rPr>
        <w:t>Orange Belgium</w:t>
      </w:r>
      <w:r w:rsidR="006470A6" w:rsidRPr="00AE34B9">
        <w:rPr>
          <w:rFonts w:ascii="Helvetica 55 Roman" w:hAnsi="Helvetica 55 Roman"/>
          <w:sz w:val="20"/>
        </w:rPr>
        <w:t xml:space="preserve"> Calls conveyed from </w:t>
      </w:r>
      <w:r w:rsidRPr="00AE34B9">
        <w:rPr>
          <w:rFonts w:ascii="Helvetica 55 Roman" w:hAnsi="Helvetica 55 Roman"/>
          <w:sz w:val="20"/>
        </w:rPr>
        <w:t>Orange Belgium</w:t>
      </w:r>
      <w:r w:rsidR="006470A6" w:rsidRPr="00AE34B9">
        <w:rPr>
          <w:rFonts w:ascii="Helvetica 55 Roman" w:hAnsi="Helvetica 55 Roman"/>
          <w:sz w:val="20"/>
        </w:rPr>
        <w:t xml:space="preserve">'s Network to </w:t>
      </w:r>
      <w:r w:rsidR="00F861E0">
        <w:rPr>
          <w:rFonts w:ascii="Helvetica 55 Roman" w:hAnsi="Helvetica 55 Roman"/>
          <w:sz w:val="20"/>
        </w:rPr>
        <w:t>Operator</w:t>
      </w:r>
      <w:r w:rsidR="006470A6" w:rsidRPr="00AE34B9">
        <w:rPr>
          <w:rFonts w:ascii="Helvetica 55 Roman" w:hAnsi="Helvetica 55 Roman"/>
          <w:sz w:val="20"/>
        </w:rPr>
        <w:t xml:space="preserve">’s Network in order to reach the </w:t>
      </w:r>
      <w:proofErr w:type="gramStart"/>
      <w:r w:rsidR="006470A6" w:rsidRPr="00AE34B9">
        <w:rPr>
          <w:rFonts w:ascii="Helvetica 55 Roman" w:hAnsi="Helvetica 55 Roman"/>
          <w:sz w:val="20"/>
        </w:rPr>
        <w:t>Value Added</w:t>
      </w:r>
      <w:proofErr w:type="gramEnd"/>
      <w:r w:rsidR="006470A6" w:rsidRPr="00AE34B9">
        <w:rPr>
          <w:rFonts w:ascii="Helvetica 55 Roman" w:hAnsi="Helvetica 55 Roman"/>
          <w:sz w:val="20"/>
        </w:rPr>
        <w:t xml:space="preserve"> Services offered by </w:t>
      </w:r>
      <w:r w:rsidR="00F861E0">
        <w:rPr>
          <w:rFonts w:ascii="Helvetica 55 Roman" w:hAnsi="Helvetica 55 Roman"/>
          <w:sz w:val="20"/>
        </w:rPr>
        <w:t>Operator</w:t>
      </w:r>
      <w:r w:rsidR="006470A6" w:rsidRPr="00AE34B9">
        <w:rPr>
          <w:rFonts w:ascii="Helvetica 55 Roman" w:hAnsi="Helvetica 55 Roman"/>
          <w:sz w:val="20"/>
        </w:rPr>
        <w:t xml:space="preserve"> or by other OLOs.</w:t>
      </w:r>
    </w:p>
    <w:p w14:paraId="6DF667E6" w14:textId="77777777" w:rsidR="006470A6" w:rsidRPr="00AE34B9" w:rsidRDefault="006470A6" w:rsidP="00E14ABC">
      <w:pPr>
        <w:pStyle w:val="Optie"/>
        <w:numPr>
          <w:ilvl w:val="0"/>
          <w:numId w:val="1"/>
        </w:numPr>
        <w:ind w:left="284" w:hanging="284"/>
        <w:jc w:val="both"/>
        <w:rPr>
          <w:rFonts w:ascii="Helvetica 55 Roman" w:hAnsi="Helvetica 55 Roman"/>
        </w:rPr>
      </w:pPr>
      <w:r w:rsidRPr="00AE34B9">
        <w:rPr>
          <w:rFonts w:ascii="Helvetica 55 Roman" w:hAnsi="Helvetica 55 Roman"/>
          <w:sz w:val="20"/>
        </w:rPr>
        <w:t>All other traffic types as defined in service plans.</w:t>
      </w:r>
      <w:bookmarkStart w:id="10" w:name="_Ref410747845"/>
    </w:p>
    <w:p w14:paraId="6DF667E7" w14:textId="77777777" w:rsidR="00AE34B9" w:rsidRPr="00AE34B9" w:rsidRDefault="00AE34B9" w:rsidP="00AE34B9">
      <w:pPr>
        <w:pStyle w:val="Optie"/>
        <w:ind w:firstLine="0"/>
        <w:jc w:val="both"/>
        <w:rPr>
          <w:rFonts w:ascii="Helvetica 55 Roman" w:hAnsi="Helvetica 55 Roman"/>
        </w:rPr>
      </w:pPr>
    </w:p>
    <w:p w14:paraId="6DF667E8" w14:textId="77777777" w:rsidR="006470A6" w:rsidRPr="00AC56F7" w:rsidRDefault="006470A6">
      <w:pPr>
        <w:jc w:val="both"/>
        <w:rPr>
          <w:rFonts w:ascii="Helvetica 55 Roman" w:hAnsi="Helvetica 55 Roman"/>
        </w:rPr>
      </w:pPr>
      <w:bookmarkStart w:id="11" w:name="_Ref416222845"/>
    </w:p>
    <w:p w14:paraId="6DF667E9" w14:textId="77777777" w:rsidR="00B7027F" w:rsidRPr="00AC56F7" w:rsidRDefault="00B7027F">
      <w:pPr>
        <w:spacing w:before="0" w:after="0"/>
        <w:rPr>
          <w:rFonts w:ascii="Helvetica 55 Roman" w:hAnsi="Helvetica 55 Roman"/>
          <w:b/>
          <w:kern w:val="28"/>
          <w:sz w:val="28"/>
        </w:rPr>
      </w:pPr>
      <w:bookmarkStart w:id="12" w:name="_Ref442087999"/>
      <w:r w:rsidRPr="00AC56F7">
        <w:rPr>
          <w:rFonts w:ascii="Helvetica 55 Roman" w:hAnsi="Helvetica 55 Roman"/>
        </w:rPr>
        <w:br w:type="page"/>
      </w:r>
    </w:p>
    <w:p w14:paraId="6DF667EA" w14:textId="77777777" w:rsidR="006470A6" w:rsidRPr="00AC56F7" w:rsidRDefault="006470A6">
      <w:pPr>
        <w:pStyle w:val="Heading1"/>
        <w:jc w:val="both"/>
        <w:rPr>
          <w:rFonts w:ascii="Helvetica 55 Roman" w:hAnsi="Helvetica 55 Roman"/>
        </w:rPr>
      </w:pPr>
      <w:bookmarkStart w:id="13" w:name="_Toc45704629"/>
      <w:r w:rsidRPr="00AC56F7">
        <w:rPr>
          <w:rFonts w:ascii="Helvetica 55 Roman" w:hAnsi="Helvetica 55 Roman"/>
        </w:rPr>
        <w:lastRenderedPageBreak/>
        <w:t xml:space="preserve">Forecasting and </w:t>
      </w:r>
      <w:bookmarkEnd w:id="11"/>
      <w:bookmarkEnd w:id="12"/>
      <w:r w:rsidR="004C3ED8">
        <w:rPr>
          <w:rFonts w:ascii="Helvetica 55 Roman" w:hAnsi="Helvetica 55 Roman"/>
        </w:rPr>
        <w:t>Dimensioning</w:t>
      </w:r>
      <w:bookmarkEnd w:id="13"/>
    </w:p>
    <w:p w14:paraId="6DF667EB" w14:textId="77777777" w:rsidR="006470A6" w:rsidRPr="00AC56F7" w:rsidRDefault="006470A6" w:rsidP="00AE34B9">
      <w:pPr>
        <w:pStyle w:val="Heading2"/>
        <w:ind w:left="576"/>
        <w:jc w:val="both"/>
        <w:rPr>
          <w:rFonts w:ascii="Helvetica 55 Roman" w:hAnsi="Helvetica 55 Roman"/>
        </w:rPr>
      </w:pPr>
      <w:bookmarkStart w:id="14" w:name="_Ref450970814"/>
      <w:bookmarkStart w:id="15" w:name="_Toc45704630"/>
      <w:r w:rsidRPr="00AC56F7">
        <w:rPr>
          <w:rFonts w:ascii="Helvetica 55 Roman" w:hAnsi="Helvetica 55 Roman"/>
        </w:rPr>
        <w:t>General</w:t>
      </w:r>
      <w:bookmarkEnd w:id="14"/>
      <w:bookmarkEnd w:id="15"/>
    </w:p>
    <w:p w14:paraId="6DF667EC" w14:textId="77777777" w:rsidR="004C3ED8" w:rsidRPr="00AE34B9" w:rsidRDefault="004C3ED8" w:rsidP="00AE34B9">
      <w:pPr>
        <w:spacing w:before="240"/>
        <w:jc w:val="both"/>
        <w:rPr>
          <w:rFonts w:ascii="Helvetica 55 Roman" w:hAnsi="Helvetica 55 Roman"/>
          <w:sz w:val="20"/>
        </w:rPr>
      </w:pPr>
      <w:r w:rsidRPr="00AE34B9">
        <w:rPr>
          <w:rFonts w:ascii="Helvetica 55 Roman" w:hAnsi="Helvetica 55 Roman"/>
          <w:sz w:val="20"/>
        </w:rPr>
        <w:t xml:space="preserve">Both Parties will forecast together the bandwidth needed by each party for the primary and backup </w:t>
      </w:r>
      <w:r w:rsidR="002345E3">
        <w:rPr>
          <w:rFonts w:ascii="Helvetica 55 Roman" w:hAnsi="Helvetica 55 Roman"/>
          <w:sz w:val="20"/>
        </w:rPr>
        <w:t>IP links. The goal of this mutual dimensioning</w:t>
      </w:r>
      <w:r w:rsidR="00CC5CD0">
        <w:rPr>
          <w:rFonts w:ascii="Helvetica 55 Roman" w:hAnsi="Helvetica 55 Roman"/>
          <w:sz w:val="20"/>
        </w:rPr>
        <w:t xml:space="preserve"> exercise is to have both IP links configured exactly in the same way (same bandwidth allocated to each party configured on both IP links)</w:t>
      </w:r>
      <w:r w:rsidRPr="00AE34B9">
        <w:rPr>
          <w:rFonts w:ascii="Helvetica 55 Roman" w:hAnsi="Helvetica 55 Roman"/>
          <w:sz w:val="20"/>
        </w:rPr>
        <w:t xml:space="preserve">. </w:t>
      </w:r>
    </w:p>
    <w:p w14:paraId="6DF667ED" w14:textId="77777777" w:rsidR="006470A6" w:rsidRPr="006758D5" w:rsidRDefault="006470A6">
      <w:pPr>
        <w:spacing w:before="240"/>
        <w:jc w:val="both"/>
        <w:rPr>
          <w:rFonts w:ascii="Helvetica 55 Roman" w:hAnsi="Helvetica 55 Roman"/>
          <w:sz w:val="20"/>
        </w:rPr>
      </w:pPr>
      <w:r w:rsidRPr="006758D5">
        <w:rPr>
          <w:rFonts w:ascii="Helvetica 55 Roman" w:hAnsi="Helvetica 55 Roman"/>
          <w:sz w:val="20"/>
        </w:rPr>
        <w:t>Both Parties shall submit to each other Forecasts and Firm Orders</w:t>
      </w:r>
      <w:r w:rsidR="004C3ED8">
        <w:rPr>
          <w:rFonts w:ascii="Helvetica 55 Roman" w:hAnsi="Helvetica 55 Roman"/>
          <w:sz w:val="20"/>
        </w:rPr>
        <w:t xml:space="preserve"> for needed Internet link Capacity dimensioning and modification, as the case may be</w:t>
      </w:r>
      <w:r w:rsidRPr="006758D5">
        <w:rPr>
          <w:rFonts w:ascii="Helvetica 55 Roman" w:hAnsi="Helvetica 55 Roman"/>
          <w:sz w:val="20"/>
        </w:rPr>
        <w:t>.</w:t>
      </w:r>
    </w:p>
    <w:p w14:paraId="6DF667EE" w14:textId="77777777" w:rsidR="004C3ED8" w:rsidRDefault="006470A6" w:rsidP="004C3ED8">
      <w:pPr>
        <w:pStyle w:val="Optie"/>
        <w:jc w:val="both"/>
        <w:rPr>
          <w:rFonts w:ascii="Helvetica 55 Roman" w:hAnsi="Helvetica 55 Roman"/>
          <w:sz w:val="20"/>
        </w:rPr>
      </w:pPr>
      <w:r w:rsidRPr="006758D5">
        <w:rPr>
          <w:rFonts w:ascii="Helvetica 55 Roman" w:hAnsi="Helvetica 55 Roman"/>
          <w:sz w:val="20"/>
        </w:rPr>
        <w:t>Each Service Plan indic</w:t>
      </w:r>
      <w:r w:rsidR="00E7434E">
        <w:rPr>
          <w:rFonts w:ascii="Helvetica 55 Roman" w:hAnsi="Helvetica 55 Roman"/>
          <w:sz w:val="20"/>
        </w:rPr>
        <w:t>ates if the related traffic is O</w:t>
      </w:r>
      <w:r w:rsidRPr="006758D5">
        <w:rPr>
          <w:rFonts w:ascii="Helvetica 55 Roman" w:hAnsi="Helvetica 55 Roman"/>
          <w:sz w:val="20"/>
        </w:rPr>
        <w:t xml:space="preserve">RT or </w:t>
      </w:r>
      <w:r w:rsidR="009C4F3D">
        <w:rPr>
          <w:rFonts w:ascii="Helvetica 55 Roman" w:hAnsi="Helvetica 55 Roman"/>
          <w:sz w:val="20"/>
        </w:rPr>
        <w:t>NRT</w:t>
      </w:r>
      <w:r w:rsidR="004C3ED8">
        <w:rPr>
          <w:rFonts w:ascii="Helvetica 55 Roman" w:hAnsi="Helvetica 55 Roman"/>
          <w:sz w:val="20"/>
        </w:rPr>
        <w:t>:</w:t>
      </w:r>
      <w:r w:rsidRPr="006758D5">
        <w:rPr>
          <w:rFonts w:ascii="Helvetica 55 Roman" w:hAnsi="Helvetica 55 Roman"/>
          <w:sz w:val="20"/>
        </w:rPr>
        <w:t xml:space="preserve"> </w:t>
      </w:r>
    </w:p>
    <w:p w14:paraId="6DF667EF" w14:textId="77777777" w:rsidR="004C3ED8" w:rsidRDefault="00E7434E" w:rsidP="00E14ABC">
      <w:pPr>
        <w:pStyle w:val="Optie"/>
        <w:numPr>
          <w:ilvl w:val="0"/>
          <w:numId w:val="4"/>
        </w:numPr>
        <w:jc w:val="both"/>
        <w:rPr>
          <w:rFonts w:ascii="Helvetica 55 Roman" w:hAnsi="Helvetica 55 Roman"/>
          <w:sz w:val="20"/>
        </w:rPr>
      </w:pPr>
      <w:r>
        <w:rPr>
          <w:rFonts w:ascii="Helvetica 55 Roman" w:hAnsi="Helvetica 55 Roman"/>
          <w:sz w:val="20"/>
        </w:rPr>
        <w:t>O</w:t>
      </w:r>
      <w:r w:rsidR="006470A6" w:rsidRPr="006758D5">
        <w:rPr>
          <w:rFonts w:ascii="Helvetica 55 Roman" w:hAnsi="Helvetica 55 Roman"/>
          <w:sz w:val="20"/>
        </w:rPr>
        <w:t xml:space="preserve">RT is to be forecasted by </w:t>
      </w:r>
      <w:r w:rsidR="006850D4" w:rsidRPr="006758D5">
        <w:rPr>
          <w:rFonts w:ascii="Helvetica 55 Roman" w:hAnsi="Helvetica 55 Roman"/>
          <w:sz w:val="20"/>
        </w:rPr>
        <w:t>Orange Belgium</w:t>
      </w:r>
      <w:r w:rsidR="006470A6" w:rsidRPr="006758D5">
        <w:rPr>
          <w:rFonts w:ascii="Helvetica 55 Roman" w:hAnsi="Helvetica 55 Roman"/>
          <w:sz w:val="20"/>
        </w:rPr>
        <w:t xml:space="preserve">; </w:t>
      </w:r>
    </w:p>
    <w:p w14:paraId="6DF667F0" w14:textId="1DC1F640" w:rsidR="006470A6" w:rsidRPr="006758D5" w:rsidRDefault="009C4F3D" w:rsidP="00E14ABC">
      <w:pPr>
        <w:pStyle w:val="Optie"/>
        <w:numPr>
          <w:ilvl w:val="0"/>
          <w:numId w:val="4"/>
        </w:numPr>
        <w:jc w:val="both"/>
        <w:rPr>
          <w:rFonts w:ascii="Helvetica 55 Roman" w:hAnsi="Helvetica 55 Roman"/>
          <w:sz w:val="20"/>
        </w:rPr>
      </w:pPr>
      <w:r>
        <w:rPr>
          <w:rFonts w:ascii="Helvetica 55 Roman" w:hAnsi="Helvetica 55 Roman"/>
          <w:sz w:val="20"/>
        </w:rPr>
        <w:t>NRT</w:t>
      </w:r>
      <w:r w:rsidR="006470A6" w:rsidRPr="006758D5">
        <w:rPr>
          <w:rFonts w:ascii="Helvetica 55 Roman" w:hAnsi="Helvetica 55 Roman"/>
          <w:sz w:val="20"/>
        </w:rPr>
        <w:t xml:space="preserve"> is to be forecasted by </w:t>
      </w:r>
      <w:r w:rsidR="00F861E0">
        <w:rPr>
          <w:rFonts w:ascii="Helvetica 55 Roman" w:hAnsi="Helvetica 55 Roman"/>
          <w:sz w:val="20"/>
        </w:rPr>
        <w:t>Operator</w:t>
      </w:r>
      <w:r w:rsidR="006470A6" w:rsidRPr="006758D5">
        <w:rPr>
          <w:rFonts w:ascii="Helvetica 55 Roman" w:hAnsi="Helvetica 55 Roman"/>
          <w:sz w:val="20"/>
        </w:rPr>
        <w:t>.</w:t>
      </w:r>
    </w:p>
    <w:p w14:paraId="6DF667F1" w14:textId="5A903FF7" w:rsidR="006470A6" w:rsidRPr="00E7434E" w:rsidRDefault="006470A6">
      <w:pPr>
        <w:spacing w:before="240"/>
        <w:jc w:val="both"/>
        <w:rPr>
          <w:rFonts w:ascii="Helvetica 55 Roman" w:hAnsi="Helvetica 55 Roman"/>
          <w:sz w:val="20"/>
        </w:rPr>
      </w:pPr>
      <w:r w:rsidRPr="00E7434E">
        <w:rPr>
          <w:rFonts w:ascii="Helvetica 55 Roman" w:hAnsi="Helvetica 55 Roman"/>
          <w:sz w:val="20"/>
        </w:rPr>
        <w:t xml:space="preserve">Two stages shall be differentiated for the purposes of Forecasting and Ordering of Capacity by </w:t>
      </w:r>
      <w:r w:rsidR="00F861E0">
        <w:rPr>
          <w:rFonts w:ascii="Helvetica 55 Roman" w:hAnsi="Helvetica 55 Roman"/>
          <w:sz w:val="20"/>
        </w:rPr>
        <w:t>Operator</w:t>
      </w:r>
      <w:r w:rsidRPr="00E7434E">
        <w:rPr>
          <w:rFonts w:ascii="Helvetica 55 Roman" w:hAnsi="Helvetica 55 Roman"/>
          <w:sz w:val="20"/>
        </w:rPr>
        <w:t xml:space="preserve"> (explained below):</w:t>
      </w:r>
    </w:p>
    <w:p w14:paraId="6DF667F2" w14:textId="011F8CB1" w:rsidR="004C3ED8" w:rsidRPr="004C3ED8" w:rsidRDefault="006470A6" w:rsidP="00E14ABC">
      <w:pPr>
        <w:pStyle w:val="Optie"/>
        <w:numPr>
          <w:ilvl w:val="0"/>
          <w:numId w:val="1"/>
        </w:numPr>
        <w:ind w:left="284" w:hanging="284"/>
        <w:jc w:val="both"/>
        <w:rPr>
          <w:rFonts w:ascii="Helvetica 55 Roman" w:hAnsi="Helvetica 55 Roman"/>
          <w:sz w:val="20"/>
        </w:rPr>
      </w:pPr>
      <w:r w:rsidRPr="002131EA">
        <w:rPr>
          <w:rFonts w:ascii="Helvetica 55 Roman" w:hAnsi="Helvetica 55 Roman"/>
          <w:sz w:val="20"/>
        </w:rPr>
        <w:t xml:space="preserve">a so-called </w:t>
      </w:r>
      <w:r w:rsidRPr="004C3ED8">
        <w:rPr>
          <w:rFonts w:ascii="Helvetica 55 Roman" w:hAnsi="Helvetica 55 Roman"/>
          <w:b/>
          <w:sz w:val="20"/>
        </w:rPr>
        <w:t>“start-up period”</w:t>
      </w:r>
      <w:r w:rsidRPr="002131EA">
        <w:rPr>
          <w:rFonts w:ascii="Helvetica 55 Roman" w:hAnsi="Helvetica 55 Roman"/>
          <w:sz w:val="20"/>
        </w:rPr>
        <w:t xml:space="preserve">, applying to the first Capacity Order which is ever introduced by </w:t>
      </w:r>
      <w:r w:rsidR="00F861E0">
        <w:rPr>
          <w:rFonts w:ascii="Helvetica 55 Roman" w:hAnsi="Helvetica 55 Roman"/>
          <w:sz w:val="20"/>
        </w:rPr>
        <w:t>Operator</w:t>
      </w:r>
      <w:r w:rsidRPr="002131EA">
        <w:rPr>
          <w:rFonts w:ascii="Helvetica 55 Roman" w:hAnsi="Helvetica 55 Roman"/>
          <w:sz w:val="20"/>
        </w:rPr>
        <w:t xml:space="preserve"> in the context of its Interconnection with </w:t>
      </w:r>
      <w:r w:rsidR="006850D4" w:rsidRPr="002131EA">
        <w:rPr>
          <w:rFonts w:ascii="Helvetica 55 Roman" w:hAnsi="Helvetica 55 Roman"/>
          <w:sz w:val="20"/>
        </w:rPr>
        <w:t xml:space="preserve">Orange </w:t>
      </w:r>
      <w:proofErr w:type="gramStart"/>
      <w:r w:rsidR="006850D4" w:rsidRPr="002131EA">
        <w:rPr>
          <w:rFonts w:ascii="Helvetica 55 Roman" w:hAnsi="Helvetica 55 Roman"/>
          <w:sz w:val="20"/>
        </w:rPr>
        <w:t>Belgium</w:t>
      </w:r>
      <w:r w:rsidRPr="002131EA">
        <w:rPr>
          <w:rFonts w:ascii="Helvetica 55 Roman" w:hAnsi="Helvetica 55 Roman"/>
          <w:sz w:val="20"/>
        </w:rPr>
        <w:t>;</w:t>
      </w:r>
      <w:proofErr w:type="gramEnd"/>
    </w:p>
    <w:p w14:paraId="6DF667F3" w14:textId="6D572A10" w:rsidR="004E3184" w:rsidRPr="00E7434E" w:rsidRDefault="006470A6" w:rsidP="004C3ED8">
      <w:pPr>
        <w:pStyle w:val="Optie"/>
        <w:ind w:firstLine="0"/>
        <w:jc w:val="both"/>
        <w:rPr>
          <w:rFonts w:ascii="Helvetica 55 Roman" w:hAnsi="Helvetica 55 Roman"/>
          <w:b/>
          <w:i/>
          <w:sz w:val="20"/>
        </w:rPr>
      </w:pPr>
      <w:r w:rsidRPr="002131EA">
        <w:rPr>
          <w:rFonts w:ascii="Helvetica 55 Roman" w:hAnsi="Helvetica 55 Roman"/>
          <w:b/>
          <w:i/>
          <w:sz w:val="20"/>
        </w:rPr>
        <w:t xml:space="preserve">A minimum </w:t>
      </w:r>
      <w:r w:rsidR="002131EA" w:rsidRPr="002131EA">
        <w:rPr>
          <w:rFonts w:ascii="Helvetica 55 Roman" w:hAnsi="Helvetica 55 Roman"/>
          <w:b/>
          <w:i/>
          <w:sz w:val="20"/>
        </w:rPr>
        <w:t xml:space="preserve">bandwidth </w:t>
      </w:r>
      <w:r w:rsidRPr="002131EA">
        <w:rPr>
          <w:rFonts w:ascii="Helvetica 55 Roman" w:hAnsi="Helvetica 55 Roman"/>
          <w:b/>
          <w:i/>
          <w:sz w:val="20"/>
        </w:rPr>
        <w:t xml:space="preserve">capacity </w:t>
      </w:r>
      <w:r w:rsidR="002131EA" w:rsidRPr="002131EA">
        <w:rPr>
          <w:rFonts w:ascii="Helvetica 55 Roman" w:hAnsi="Helvetica 55 Roman"/>
          <w:b/>
          <w:i/>
          <w:sz w:val="20"/>
        </w:rPr>
        <w:t>to carry monthly 1.8 million of minutes</w:t>
      </w:r>
      <w:r w:rsidRPr="002131EA">
        <w:rPr>
          <w:rFonts w:ascii="Helvetica 55 Roman" w:hAnsi="Helvetica 55 Roman"/>
          <w:b/>
          <w:i/>
          <w:sz w:val="20"/>
        </w:rPr>
        <w:t xml:space="preserve"> will be ordered b</w:t>
      </w:r>
      <w:r w:rsidR="004E3184" w:rsidRPr="002131EA">
        <w:rPr>
          <w:rFonts w:ascii="Helvetica 55 Roman" w:hAnsi="Helvetica 55 Roman"/>
          <w:b/>
          <w:i/>
          <w:sz w:val="20"/>
        </w:rPr>
        <w:t xml:space="preserve">etween </w:t>
      </w:r>
      <w:r w:rsidR="00F861E0">
        <w:rPr>
          <w:rFonts w:ascii="Helvetica 55 Roman" w:hAnsi="Helvetica 55 Roman"/>
          <w:b/>
          <w:i/>
          <w:sz w:val="20"/>
        </w:rPr>
        <w:t>Operator</w:t>
      </w:r>
      <w:r w:rsidR="004E3184" w:rsidRPr="002131EA">
        <w:rPr>
          <w:rFonts w:ascii="Helvetica 55 Roman" w:hAnsi="Helvetica 55 Roman"/>
          <w:b/>
          <w:i/>
          <w:sz w:val="20"/>
        </w:rPr>
        <w:t xml:space="preserve"> and </w:t>
      </w:r>
      <w:r w:rsidR="006850D4" w:rsidRPr="002131EA">
        <w:rPr>
          <w:rFonts w:ascii="Helvetica 55 Roman" w:hAnsi="Helvetica 55 Roman"/>
          <w:b/>
          <w:i/>
          <w:sz w:val="20"/>
        </w:rPr>
        <w:t>Orange Belgium</w:t>
      </w:r>
    </w:p>
    <w:p w14:paraId="6DF667F4" w14:textId="77777777" w:rsidR="00B518AE" w:rsidRDefault="00B518AE" w:rsidP="00B518AE">
      <w:pPr>
        <w:pStyle w:val="Optie"/>
        <w:ind w:firstLine="0"/>
        <w:jc w:val="both"/>
        <w:rPr>
          <w:rFonts w:ascii="Helvetica 55 Roman" w:hAnsi="Helvetica 55 Roman"/>
          <w:sz w:val="20"/>
        </w:rPr>
      </w:pPr>
      <w:r>
        <w:rPr>
          <w:rFonts w:ascii="Helvetica 55 Roman" w:hAnsi="Helvetica 55 Roman"/>
          <w:sz w:val="20"/>
        </w:rPr>
        <w:t xml:space="preserve">The VoIP </w:t>
      </w:r>
      <w:r w:rsidR="004C3ED8">
        <w:rPr>
          <w:rFonts w:ascii="Helvetica 55 Roman" w:hAnsi="Helvetica 55 Roman"/>
          <w:sz w:val="20"/>
        </w:rPr>
        <w:t>interconnection</w:t>
      </w:r>
      <w:r>
        <w:rPr>
          <w:rFonts w:ascii="Helvetica 55 Roman" w:hAnsi="Helvetica 55 Roman"/>
          <w:sz w:val="20"/>
        </w:rPr>
        <w:t xml:space="preserve"> provides an initial capacity that will cover both operators’ needs for several months or years. </w:t>
      </w:r>
      <w:proofErr w:type="gramStart"/>
      <w:r>
        <w:rPr>
          <w:rFonts w:ascii="Helvetica 55 Roman" w:hAnsi="Helvetica 55 Roman"/>
          <w:sz w:val="20"/>
        </w:rPr>
        <w:t>However</w:t>
      </w:r>
      <w:proofErr w:type="gramEnd"/>
      <w:r>
        <w:rPr>
          <w:rFonts w:ascii="Helvetica 55 Roman" w:hAnsi="Helvetica 55 Roman"/>
          <w:sz w:val="20"/>
        </w:rPr>
        <w:t xml:space="preserve"> if the bandwidth usage reaches the maximum threshold capacity provided by the physical link (1 GBE), a new physical link of 1 GBE will be installed by both parties to offer additional available bandwidth.</w:t>
      </w:r>
    </w:p>
    <w:p w14:paraId="6DF667F5" w14:textId="77777777" w:rsidR="006470A6" w:rsidRPr="00E7434E" w:rsidRDefault="006470A6" w:rsidP="00E14ABC">
      <w:pPr>
        <w:pStyle w:val="Optie"/>
        <w:numPr>
          <w:ilvl w:val="0"/>
          <w:numId w:val="1"/>
        </w:numPr>
        <w:ind w:left="284" w:hanging="284"/>
        <w:jc w:val="both"/>
        <w:rPr>
          <w:rFonts w:ascii="Helvetica 55 Roman" w:hAnsi="Helvetica 55 Roman"/>
          <w:sz w:val="20"/>
        </w:rPr>
      </w:pPr>
      <w:r w:rsidRPr="00E7434E">
        <w:rPr>
          <w:rFonts w:ascii="Helvetica 55 Roman" w:hAnsi="Helvetica 55 Roman"/>
          <w:sz w:val="20"/>
        </w:rPr>
        <w:t xml:space="preserve">a so-called </w:t>
      </w:r>
      <w:r w:rsidRPr="004C3ED8">
        <w:rPr>
          <w:rFonts w:ascii="Helvetica 55 Roman" w:hAnsi="Helvetica 55 Roman"/>
          <w:b/>
          <w:sz w:val="20"/>
        </w:rPr>
        <w:t>“regular regime”,</w:t>
      </w:r>
      <w:r w:rsidRPr="00E7434E">
        <w:rPr>
          <w:rFonts w:ascii="Helvetica 55 Roman" w:hAnsi="Helvetica 55 Roman"/>
          <w:sz w:val="20"/>
        </w:rPr>
        <w:t xml:space="preserve"> applying to any Capacity Order subsequen</w:t>
      </w:r>
      <w:r w:rsidR="004C3ED8">
        <w:rPr>
          <w:rFonts w:ascii="Helvetica 55 Roman" w:hAnsi="Helvetica 55 Roman"/>
          <w:sz w:val="20"/>
        </w:rPr>
        <w:t>t to the Initial Capacity Order:</w:t>
      </w:r>
    </w:p>
    <w:p w14:paraId="6DF667F6" w14:textId="41E986EC" w:rsidR="006470A6" w:rsidRPr="002131EA" w:rsidRDefault="006470A6">
      <w:pPr>
        <w:pStyle w:val="Optie"/>
        <w:ind w:firstLine="0"/>
        <w:jc w:val="both"/>
        <w:rPr>
          <w:rFonts w:ascii="Helvetica 55 Roman" w:hAnsi="Helvetica 55 Roman"/>
          <w:b/>
          <w:i/>
          <w:sz w:val="20"/>
        </w:rPr>
      </w:pPr>
      <w:r w:rsidRPr="002131EA">
        <w:rPr>
          <w:rFonts w:ascii="Helvetica 55 Roman" w:hAnsi="Helvetica 55 Roman"/>
          <w:b/>
          <w:i/>
          <w:sz w:val="20"/>
        </w:rPr>
        <w:t xml:space="preserve">A granularity of </w:t>
      </w:r>
      <w:r w:rsidR="00B518AE">
        <w:rPr>
          <w:rFonts w:ascii="Helvetica 55 Roman" w:hAnsi="Helvetica 55 Roman"/>
          <w:b/>
          <w:i/>
          <w:sz w:val="20"/>
        </w:rPr>
        <w:t>1</w:t>
      </w:r>
      <w:r w:rsidR="00133593">
        <w:rPr>
          <w:rFonts w:ascii="Helvetica 55 Roman" w:hAnsi="Helvetica 55 Roman"/>
          <w:b/>
          <w:i/>
          <w:sz w:val="20"/>
        </w:rPr>
        <w:t>0</w:t>
      </w:r>
      <w:r w:rsidR="00B518AE">
        <w:rPr>
          <w:rFonts w:ascii="Helvetica 55 Roman" w:hAnsi="Helvetica 55 Roman"/>
          <w:b/>
          <w:i/>
          <w:sz w:val="20"/>
        </w:rPr>
        <w:t xml:space="preserve"> </w:t>
      </w:r>
      <w:proofErr w:type="spellStart"/>
      <w:r w:rsidR="00B518AE">
        <w:rPr>
          <w:rFonts w:ascii="Helvetica 55 Roman" w:hAnsi="Helvetica 55 Roman"/>
          <w:b/>
          <w:i/>
          <w:sz w:val="20"/>
        </w:rPr>
        <w:t>GbE</w:t>
      </w:r>
      <w:proofErr w:type="spellEnd"/>
      <w:r w:rsidRPr="002131EA">
        <w:rPr>
          <w:rFonts w:ascii="Helvetica 55 Roman" w:hAnsi="Helvetica 55 Roman"/>
          <w:b/>
          <w:i/>
          <w:sz w:val="20"/>
        </w:rPr>
        <w:t xml:space="preserve"> is applicable for "regular time" capacity ordering by </w:t>
      </w:r>
      <w:r w:rsidR="00F861E0">
        <w:rPr>
          <w:rFonts w:ascii="Helvetica 55 Roman" w:hAnsi="Helvetica 55 Roman"/>
          <w:b/>
          <w:i/>
          <w:sz w:val="20"/>
        </w:rPr>
        <w:t>Operator</w:t>
      </w:r>
      <w:r w:rsidRPr="002131EA">
        <w:rPr>
          <w:rFonts w:ascii="Helvetica 55 Roman" w:hAnsi="Helvetica 55 Roman"/>
          <w:b/>
          <w:i/>
          <w:sz w:val="20"/>
        </w:rPr>
        <w:t>.</w:t>
      </w:r>
    </w:p>
    <w:p w14:paraId="6DF667F7" w14:textId="458657CF" w:rsidR="006470A6" w:rsidRPr="00E7434E" w:rsidRDefault="006470A6">
      <w:pPr>
        <w:pStyle w:val="Optie"/>
        <w:ind w:firstLine="0"/>
        <w:jc w:val="both"/>
        <w:rPr>
          <w:rFonts w:ascii="Helvetica 55 Roman" w:hAnsi="Helvetica 55 Roman"/>
          <w:b/>
          <w:i/>
          <w:sz w:val="20"/>
        </w:rPr>
      </w:pPr>
      <w:r w:rsidRPr="002131EA">
        <w:rPr>
          <w:rFonts w:ascii="Helvetica 55 Roman" w:hAnsi="Helvetica 55 Roman"/>
          <w:b/>
          <w:i/>
          <w:sz w:val="20"/>
        </w:rPr>
        <w:t xml:space="preserve">A granularity of </w:t>
      </w:r>
      <w:r w:rsidR="00B518AE">
        <w:rPr>
          <w:rFonts w:ascii="Helvetica 55 Roman" w:hAnsi="Helvetica 55 Roman"/>
          <w:b/>
          <w:i/>
          <w:sz w:val="20"/>
        </w:rPr>
        <w:t>1</w:t>
      </w:r>
      <w:r w:rsidR="00133593">
        <w:rPr>
          <w:rFonts w:ascii="Helvetica 55 Roman" w:hAnsi="Helvetica 55 Roman"/>
          <w:b/>
          <w:i/>
          <w:sz w:val="20"/>
        </w:rPr>
        <w:t>0</w:t>
      </w:r>
      <w:r w:rsidR="00B518AE">
        <w:rPr>
          <w:rFonts w:ascii="Helvetica 55 Roman" w:hAnsi="Helvetica 55 Roman"/>
          <w:b/>
          <w:i/>
          <w:sz w:val="20"/>
        </w:rPr>
        <w:t xml:space="preserve"> </w:t>
      </w:r>
      <w:proofErr w:type="spellStart"/>
      <w:r w:rsidR="00B518AE">
        <w:rPr>
          <w:rFonts w:ascii="Helvetica 55 Roman" w:hAnsi="Helvetica 55 Roman"/>
          <w:b/>
          <w:i/>
          <w:sz w:val="20"/>
        </w:rPr>
        <w:t>GbE</w:t>
      </w:r>
      <w:proofErr w:type="spellEnd"/>
      <w:r w:rsidRPr="002131EA">
        <w:rPr>
          <w:rFonts w:ascii="Helvetica 55 Roman" w:hAnsi="Helvetica 55 Roman"/>
          <w:b/>
          <w:i/>
          <w:sz w:val="20"/>
        </w:rPr>
        <w:t xml:space="preserve"> is applicable for "regular time" capacity ordering by </w:t>
      </w:r>
      <w:r w:rsidR="006850D4" w:rsidRPr="002131EA">
        <w:rPr>
          <w:rFonts w:ascii="Helvetica 55 Roman" w:hAnsi="Helvetica 55 Roman"/>
          <w:b/>
          <w:i/>
          <w:sz w:val="20"/>
        </w:rPr>
        <w:t>Orange Belgium</w:t>
      </w:r>
      <w:r w:rsidRPr="002131EA">
        <w:rPr>
          <w:rFonts w:ascii="Helvetica 55 Roman" w:hAnsi="Helvetica 55 Roman"/>
          <w:b/>
          <w:i/>
          <w:sz w:val="20"/>
        </w:rPr>
        <w:t>.</w:t>
      </w:r>
    </w:p>
    <w:p w14:paraId="6DF667F8" w14:textId="77777777" w:rsidR="00CD496B" w:rsidRDefault="00CD496B">
      <w:pPr>
        <w:pStyle w:val="Optie"/>
        <w:ind w:left="0" w:firstLine="0"/>
        <w:jc w:val="both"/>
        <w:rPr>
          <w:rFonts w:ascii="Helvetica 55 Roman" w:hAnsi="Helvetica 55 Roman"/>
          <w:sz w:val="20"/>
        </w:rPr>
      </w:pPr>
    </w:p>
    <w:p w14:paraId="6DF667F9" w14:textId="77777777" w:rsidR="006470A6" w:rsidRPr="00E7434E" w:rsidRDefault="006470A6">
      <w:pPr>
        <w:pStyle w:val="Optie"/>
        <w:ind w:left="0" w:firstLine="0"/>
        <w:jc w:val="both"/>
        <w:rPr>
          <w:rFonts w:ascii="Helvetica 55 Roman" w:hAnsi="Helvetica 55 Roman"/>
          <w:sz w:val="20"/>
        </w:rPr>
      </w:pPr>
      <w:r w:rsidRPr="00E7434E">
        <w:rPr>
          <w:rFonts w:ascii="Helvetica 55 Roman" w:hAnsi="Helvetica 55 Roman"/>
          <w:sz w:val="20"/>
        </w:rPr>
        <w:t xml:space="preserve">For the sake of clarity, for all matters related to the Forecasting and </w:t>
      </w:r>
      <w:r w:rsidR="00CD496B">
        <w:rPr>
          <w:rFonts w:ascii="Helvetica 55 Roman" w:hAnsi="Helvetica 55 Roman"/>
          <w:sz w:val="20"/>
        </w:rPr>
        <w:t>Capacity Ordering process, a</w:t>
      </w:r>
      <w:r w:rsidRPr="00E7434E">
        <w:rPr>
          <w:rFonts w:ascii="Helvetica 55 Roman" w:hAnsi="Helvetica 55 Roman"/>
          <w:sz w:val="20"/>
        </w:rPr>
        <w:t xml:space="preserve"> </w:t>
      </w:r>
      <w:r w:rsidR="00CD496B">
        <w:rPr>
          <w:rFonts w:ascii="Helvetica 55 Roman" w:hAnsi="Helvetica 55 Roman"/>
          <w:sz w:val="20"/>
        </w:rPr>
        <w:t xml:space="preserve">binding </w:t>
      </w:r>
      <w:r w:rsidRPr="00E7434E">
        <w:rPr>
          <w:rFonts w:ascii="Helvetica 55 Roman" w:hAnsi="Helvetica 55 Roman"/>
          <w:sz w:val="20"/>
        </w:rPr>
        <w:t xml:space="preserve">agreement between the Parties </w:t>
      </w:r>
      <w:r w:rsidR="00CD496B">
        <w:rPr>
          <w:rFonts w:ascii="Helvetica 55 Roman" w:hAnsi="Helvetica 55 Roman"/>
          <w:sz w:val="20"/>
        </w:rPr>
        <w:t>will be defined at the TIC meeting.</w:t>
      </w:r>
    </w:p>
    <w:p w14:paraId="6DF667FA" w14:textId="77777777" w:rsidR="006470A6" w:rsidRPr="00AC56F7" w:rsidRDefault="006470A6" w:rsidP="00CC5CD0">
      <w:pPr>
        <w:pStyle w:val="Heading2"/>
        <w:ind w:left="576"/>
        <w:jc w:val="both"/>
        <w:rPr>
          <w:rFonts w:ascii="Helvetica 55 Roman" w:hAnsi="Helvetica 55 Roman"/>
        </w:rPr>
      </w:pPr>
      <w:bookmarkStart w:id="16" w:name="_Toc45704631"/>
      <w:r w:rsidRPr="00AC56F7">
        <w:rPr>
          <w:rFonts w:ascii="Helvetica 55 Roman" w:hAnsi="Helvetica 55 Roman"/>
        </w:rPr>
        <w:t>Start-up period</w:t>
      </w:r>
      <w:bookmarkEnd w:id="16"/>
    </w:p>
    <w:p w14:paraId="6DF667FB" w14:textId="47F354BC" w:rsidR="006470A6" w:rsidRPr="00B518AE" w:rsidRDefault="006470A6">
      <w:pPr>
        <w:pStyle w:val="Optie"/>
        <w:jc w:val="both"/>
        <w:rPr>
          <w:rFonts w:ascii="Helvetica 55 Roman" w:hAnsi="Helvetica 55 Roman"/>
          <w:b/>
          <w:i/>
          <w:sz w:val="20"/>
          <w:u w:val="single"/>
        </w:rPr>
      </w:pPr>
      <w:r w:rsidRPr="00B518AE">
        <w:rPr>
          <w:rFonts w:ascii="Helvetica 55 Roman" w:hAnsi="Helvetica 55 Roman"/>
          <w:b/>
          <w:i/>
          <w:sz w:val="20"/>
          <w:u w:val="single"/>
        </w:rPr>
        <w:t xml:space="preserve">A minimum capacity of </w:t>
      </w:r>
      <w:r w:rsidR="00B518AE">
        <w:rPr>
          <w:rFonts w:ascii="Helvetica 55 Roman" w:hAnsi="Helvetica 55 Roman"/>
          <w:b/>
          <w:i/>
          <w:sz w:val="20"/>
          <w:u w:val="single"/>
        </w:rPr>
        <w:t>1</w:t>
      </w:r>
      <w:r w:rsidR="00133593">
        <w:rPr>
          <w:rFonts w:ascii="Helvetica 55 Roman" w:hAnsi="Helvetica 55 Roman"/>
          <w:b/>
          <w:i/>
          <w:sz w:val="20"/>
          <w:u w:val="single"/>
        </w:rPr>
        <w:t>0</w:t>
      </w:r>
      <w:r w:rsidR="00B518AE">
        <w:rPr>
          <w:rFonts w:ascii="Helvetica 55 Roman" w:hAnsi="Helvetica 55 Roman"/>
          <w:b/>
          <w:i/>
          <w:sz w:val="20"/>
          <w:u w:val="single"/>
        </w:rPr>
        <w:t xml:space="preserve"> </w:t>
      </w:r>
      <w:proofErr w:type="spellStart"/>
      <w:r w:rsidR="00B518AE">
        <w:rPr>
          <w:rFonts w:ascii="Helvetica 55 Roman" w:hAnsi="Helvetica 55 Roman"/>
          <w:b/>
          <w:i/>
          <w:sz w:val="20"/>
          <w:u w:val="single"/>
        </w:rPr>
        <w:t>GbE</w:t>
      </w:r>
      <w:proofErr w:type="spellEnd"/>
      <w:r w:rsidRPr="00B518AE">
        <w:rPr>
          <w:rFonts w:ascii="Helvetica 55 Roman" w:hAnsi="Helvetica 55 Roman"/>
          <w:b/>
          <w:i/>
          <w:sz w:val="20"/>
          <w:u w:val="single"/>
        </w:rPr>
        <w:t xml:space="preserve"> will be ordered by </w:t>
      </w:r>
      <w:r w:rsidR="00F861E0">
        <w:rPr>
          <w:rFonts w:ascii="Helvetica 55 Roman" w:hAnsi="Helvetica 55 Roman"/>
          <w:b/>
          <w:i/>
          <w:sz w:val="20"/>
          <w:u w:val="single"/>
        </w:rPr>
        <w:t>Operator</w:t>
      </w:r>
      <w:r w:rsidR="00CC5CD0">
        <w:rPr>
          <w:rFonts w:ascii="Helvetica 55 Roman" w:hAnsi="Helvetica 55 Roman"/>
          <w:b/>
          <w:i/>
          <w:sz w:val="20"/>
          <w:u w:val="single"/>
        </w:rPr>
        <w:t xml:space="preserve"> and Orange Belgium</w:t>
      </w:r>
      <w:r w:rsidRPr="00B518AE">
        <w:rPr>
          <w:rFonts w:ascii="Helvetica 55 Roman" w:hAnsi="Helvetica 55 Roman"/>
          <w:b/>
          <w:i/>
          <w:sz w:val="20"/>
          <w:u w:val="single"/>
        </w:rPr>
        <w:t xml:space="preserve"> in the initial order. </w:t>
      </w:r>
    </w:p>
    <w:p w14:paraId="6DF667FC" w14:textId="77777777" w:rsidR="006470A6" w:rsidRPr="00B518AE" w:rsidRDefault="006470A6">
      <w:pPr>
        <w:spacing w:before="240"/>
        <w:jc w:val="both"/>
        <w:rPr>
          <w:rFonts w:ascii="Helvetica 55 Roman" w:hAnsi="Helvetica 55 Roman"/>
          <w:sz w:val="20"/>
        </w:rPr>
      </w:pPr>
      <w:r w:rsidRPr="00B518AE">
        <w:rPr>
          <w:rFonts w:ascii="Helvetica 55 Roman" w:hAnsi="Helvetica 55 Roman"/>
          <w:sz w:val="20"/>
        </w:rPr>
        <w:t>The Bringing into Service cannot take place if the Interconnect Agreement has not been signed.</w:t>
      </w:r>
    </w:p>
    <w:p w14:paraId="6DF667FD" w14:textId="77777777" w:rsidR="006470A6" w:rsidRPr="00AC56F7" w:rsidRDefault="006470A6" w:rsidP="00CC5CD0">
      <w:pPr>
        <w:pStyle w:val="Heading2"/>
        <w:ind w:left="576"/>
        <w:jc w:val="both"/>
        <w:rPr>
          <w:rFonts w:ascii="Helvetica 55 Roman" w:hAnsi="Helvetica 55 Roman"/>
        </w:rPr>
      </w:pPr>
      <w:bookmarkStart w:id="17" w:name="_Toc45704632"/>
      <w:r w:rsidRPr="00AC56F7">
        <w:rPr>
          <w:rFonts w:ascii="Helvetica 55 Roman" w:hAnsi="Helvetica 55 Roman"/>
        </w:rPr>
        <w:t>Regular regime</w:t>
      </w:r>
      <w:bookmarkEnd w:id="17"/>
    </w:p>
    <w:p w14:paraId="6DF667FE" w14:textId="0A3CC272" w:rsidR="006470A6" w:rsidRPr="00B518AE" w:rsidRDefault="006470A6">
      <w:pPr>
        <w:spacing w:before="240"/>
        <w:jc w:val="both"/>
        <w:rPr>
          <w:rFonts w:ascii="Helvetica 55 Roman" w:hAnsi="Helvetica 55 Roman"/>
          <w:sz w:val="20"/>
        </w:rPr>
      </w:pPr>
      <w:r w:rsidRPr="00B518AE">
        <w:rPr>
          <w:rFonts w:ascii="Helvetica 55 Roman" w:hAnsi="Helvetica 55 Roman"/>
          <w:sz w:val="20"/>
        </w:rPr>
        <w:t>Subse</w:t>
      </w:r>
      <w:r w:rsidR="00CC5CD0">
        <w:rPr>
          <w:rFonts w:ascii="Helvetica 55 Roman" w:hAnsi="Helvetica 55 Roman"/>
          <w:sz w:val="20"/>
        </w:rPr>
        <w:t>quent provisioning of capacity w</w:t>
      </w:r>
      <w:r w:rsidRPr="00B518AE">
        <w:rPr>
          <w:rFonts w:ascii="Helvetica 55 Roman" w:hAnsi="Helvetica 55 Roman"/>
          <w:sz w:val="20"/>
        </w:rPr>
        <w:t xml:space="preserve">ill be installed at the earliest during the quarter that will follow the Quarter including the BIS Date. From then on, ordered Capacity will be delivered on the RFS Dates, on the basis of the quarterly orders and the lead times for provisioning described in Section </w:t>
      </w:r>
      <w:r w:rsidR="008C26D1">
        <w:rPr>
          <w:rFonts w:ascii="Helvetica 55 Roman" w:hAnsi="Helvetica 55 Roman"/>
          <w:sz w:val="20"/>
        </w:rPr>
        <w:t>5</w:t>
      </w:r>
      <w:r w:rsidRPr="00B518AE">
        <w:rPr>
          <w:rFonts w:ascii="Helvetica 55 Roman" w:hAnsi="Helvetica 55 Roman"/>
          <w:sz w:val="20"/>
        </w:rPr>
        <w:t>.</w:t>
      </w:r>
    </w:p>
    <w:p w14:paraId="6DF667FF" w14:textId="2A9CC581" w:rsidR="006470A6" w:rsidRPr="00AC56F7" w:rsidRDefault="006470A6">
      <w:pPr>
        <w:spacing w:before="240"/>
        <w:jc w:val="both"/>
        <w:rPr>
          <w:rFonts w:ascii="Helvetica 55 Roman" w:hAnsi="Helvetica 55 Roman"/>
          <w:b/>
          <w:i/>
          <w:u w:val="single"/>
        </w:rPr>
      </w:pPr>
      <w:r w:rsidRPr="00AC56F7">
        <w:rPr>
          <w:rFonts w:ascii="Helvetica 55 Roman" w:hAnsi="Helvetica 55 Roman"/>
          <w:b/>
          <w:i/>
          <w:u w:val="single"/>
        </w:rPr>
        <w:t xml:space="preserve">Subsequent capacity orders will be done with a granularity of </w:t>
      </w:r>
      <w:r w:rsidR="00B518AE">
        <w:rPr>
          <w:rFonts w:ascii="Helvetica 55 Roman" w:hAnsi="Helvetica 55 Roman"/>
          <w:b/>
          <w:i/>
          <w:u w:val="single"/>
        </w:rPr>
        <w:t>1</w:t>
      </w:r>
      <w:r w:rsidR="00133593">
        <w:rPr>
          <w:rFonts w:ascii="Helvetica 55 Roman" w:hAnsi="Helvetica 55 Roman"/>
          <w:b/>
          <w:i/>
          <w:u w:val="single"/>
        </w:rPr>
        <w:t>0</w:t>
      </w:r>
      <w:r w:rsidR="00B518AE">
        <w:rPr>
          <w:rFonts w:ascii="Helvetica 55 Roman" w:hAnsi="Helvetica 55 Roman"/>
          <w:b/>
          <w:i/>
          <w:u w:val="single"/>
        </w:rPr>
        <w:t xml:space="preserve"> </w:t>
      </w:r>
      <w:proofErr w:type="spellStart"/>
      <w:r w:rsidR="00B518AE">
        <w:rPr>
          <w:rFonts w:ascii="Helvetica 55 Roman" w:hAnsi="Helvetica 55 Roman"/>
          <w:b/>
          <w:i/>
          <w:u w:val="single"/>
        </w:rPr>
        <w:t>GbE</w:t>
      </w:r>
      <w:proofErr w:type="spellEnd"/>
      <w:r w:rsidRPr="00AC56F7">
        <w:rPr>
          <w:rFonts w:ascii="Helvetica 55 Roman" w:hAnsi="Helvetica 55 Roman"/>
          <w:b/>
          <w:i/>
          <w:u w:val="single"/>
        </w:rPr>
        <w:t>.</w:t>
      </w:r>
    </w:p>
    <w:p w14:paraId="6DF66800" w14:textId="77777777" w:rsidR="006470A6" w:rsidRPr="00AC56F7" w:rsidRDefault="006470A6" w:rsidP="00055D86">
      <w:pPr>
        <w:pStyle w:val="Heading3"/>
        <w:ind w:left="720"/>
        <w:jc w:val="both"/>
        <w:rPr>
          <w:rFonts w:ascii="Helvetica 55 Roman" w:hAnsi="Helvetica 55 Roman"/>
        </w:rPr>
      </w:pPr>
      <w:bookmarkStart w:id="18" w:name="_Ref430903331"/>
      <w:bookmarkStart w:id="19" w:name="_Toc45704633"/>
      <w:r w:rsidRPr="00AC56F7">
        <w:rPr>
          <w:rFonts w:ascii="Helvetica 55 Roman" w:hAnsi="Helvetica 55 Roman"/>
        </w:rPr>
        <w:t>Rolling Forecast</w:t>
      </w:r>
      <w:bookmarkEnd w:id="18"/>
      <w:r w:rsidRPr="00AC56F7">
        <w:rPr>
          <w:rFonts w:ascii="Helvetica 55 Roman" w:hAnsi="Helvetica 55 Roman"/>
        </w:rPr>
        <w:t>s</w:t>
      </w:r>
      <w:bookmarkEnd w:id="19"/>
    </w:p>
    <w:p w14:paraId="6DF66801" w14:textId="607240ED" w:rsidR="00B518AE" w:rsidRDefault="00F861E0" w:rsidP="00B518AE">
      <w:pPr>
        <w:jc w:val="both"/>
        <w:rPr>
          <w:rFonts w:ascii="Helvetica 55 Roman" w:hAnsi="Helvetica 55 Roman"/>
          <w:sz w:val="20"/>
        </w:rPr>
      </w:pPr>
      <w:r>
        <w:rPr>
          <w:rFonts w:ascii="Helvetica 55 Roman" w:hAnsi="Helvetica 55 Roman"/>
          <w:sz w:val="20"/>
        </w:rPr>
        <w:t>Operator</w:t>
      </w:r>
      <w:r w:rsidR="00055D86">
        <w:rPr>
          <w:rFonts w:ascii="Helvetica 55 Roman" w:hAnsi="Helvetica 55 Roman"/>
          <w:sz w:val="20"/>
        </w:rPr>
        <w:t xml:space="preserve"> and Orange</w:t>
      </w:r>
      <w:r w:rsidR="006470A6" w:rsidRPr="00B518AE">
        <w:rPr>
          <w:rFonts w:ascii="Helvetica 55 Roman" w:hAnsi="Helvetica 55 Roman"/>
          <w:sz w:val="20"/>
        </w:rPr>
        <w:t xml:space="preserve"> shall s</w:t>
      </w:r>
      <w:r w:rsidR="00055D86">
        <w:rPr>
          <w:rFonts w:ascii="Helvetica 55 Roman" w:hAnsi="Helvetica 55 Roman"/>
          <w:sz w:val="20"/>
        </w:rPr>
        <w:t>hare a</w:t>
      </w:r>
      <w:r w:rsidR="006470A6" w:rsidRPr="00B518AE">
        <w:rPr>
          <w:rFonts w:ascii="Helvetica 55 Roman" w:hAnsi="Helvetica 55 Roman"/>
          <w:sz w:val="20"/>
        </w:rPr>
        <w:t xml:space="preserve"> first Rolling Forecast that covers the Capacity needs for a </w:t>
      </w:r>
      <w:proofErr w:type="gramStart"/>
      <w:r w:rsidR="006470A6" w:rsidRPr="00B518AE">
        <w:rPr>
          <w:rFonts w:ascii="Helvetica 55 Roman" w:hAnsi="Helvetica 55 Roman"/>
          <w:sz w:val="20"/>
        </w:rPr>
        <w:t>1 year</w:t>
      </w:r>
      <w:proofErr w:type="gramEnd"/>
      <w:r w:rsidR="006470A6" w:rsidRPr="00B518AE">
        <w:rPr>
          <w:rFonts w:ascii="Helvetica 55 Roman" w:hAnsi="Helvetica 55 Roman"/>
          <w:sz w:val="20"/>
        </w:rPr>
        <w:t xml:space="preserve"> period, starting from the quarter including the BIS Date. This first rolling forecast will therefore be included in the LOI document. </w:t>
      </w:r>
    </w:p>
    <w:p w14:paraId="6DF66802" w14:textId="77777777" w:rsidR="006470A6" w:rsidRPr="00B518AE" w:rsidRDefault="006470A6" w:rsidP="00B518AE">
      <w:pPr>
        <w:jc w:val="both"/>
        <w:rPr>
          <w:rFonts w:ascii="Helvetica 55 Roman" w:hAnsi="Helvetica 55 Roman"/>
          <w:sz w:val="20"/>
        </w:rPr>
      </w:pPr>
      <w:r w:rsidRPr="00B518AE">
        <w:rPr>
          <w:rFonts w:ascii="Helvetica 55 Roman" w:hAnsi="Helvetica 55 Roman"/>
          <w:sz w:val="20"/>
        </w:rPr>
        <w:t xml:space="preserve">Subsequent Rolling Forecasts will be communicated </w:t>
      </w:r>
      <w:r w:rsidR="00055D86">
        <w:rPr>
          <w:rFonts w:ascii="Helvetica 55 Roman" w:hAnsi="Helvetica 55 Roman"/>
          <w:sz w:val="20"/>
        </w:rPr>
        <w:t xml:space="preserve">on </w:t>
      </w:r>
      <w:r w:rsidRPr="00B518AE">
        <w:rPr>
          <w:rFonts w:ascii="Helvetica 55 Roman" w:hAnsi="Helvetica 55 Roman"/>
          <w:sz w:val="20"/>
        </w:rPr>
        <w:t>a quarterly basis. They will be part of the quarterly TIC meeting report.</w:t>
      </w:r>
    </w:p>
    <w:p w14:paraId="6DF66803" w14:textId="77777777" w:rsidR="006470A6" w:rsidRPr="00AC56F7" w:rsidRDefault="006470A6" w:rsidP="00055D86">
      <w:pPr>
        <w:pStyle w:val="Heading3"/>
        <w:ind w:left="720"/>
        <w:jc w:val="both"/>
        <w:rPr>
          <w:rFonts w:ascii="Helvetica 55 Roman" w:hAnsi="Helvetica 55 Roman"/>
        </w:rPr>
      </w:pPr>
      <w:bookmarkStart w:id="20" w:name="_Hlt844263"/>
      <w:bookmarkStart w:id="21" w:name="_Ref511645961"/>
      <w:bookmarkStart w:id="22" w:name="_Toc45704634"/>
      <w:bookmarkEnd w:id="20"/>
      <w:r w:rsidRPr="00AC56F7">
        <w:rPr>
          <w:rFonts w:ascii="Helvetica 55 Roman" w:hAnsi="Helvetica 55 Roman"/>
        </w:rPr>
        <w:lastRenderedPageBreak/>
        <w:t>Regular Ordering of Capacity</w:t>
      </w:r>
      <w:bookmarkEnd w:id="21"/>
      <w:bookmarkEnd w:id="22"/>
    </w:p>
    <w:p w14:paraId="6DF66804" w14:textId="77777777" w:rsidR="006470A6" w:rsidRPr="00AC56F7" w:rsidRDefault="006470A6">
      <w:pPr>
        <w:pStyle w:val="Heading4"/>
        <w:jc w:val="both"/>
        <w:rPr>
          <w:rFonts w:ascii="Helvetica 55 Roman" w:hAnsi="Helvetica 55 Roman"/>
        </w:rPr>
      </w:pPr>
      <w:bookmarkStart w:id="23" w:name="_Ref530284766"/>
      <w:r w:rsidRPr="00AC56F7">
        <w:rPr>
          <w:rFonts w:ascii="Helvetica 55 Roman" w:hAnsi="Helvetica 55 Roman"/>
        </w:rPr>
        <w:t>General</w:t>
      </w:r>
      <w:bookmarkEnd w:id="23"/>
    </w:p>
    <w:p w14:paraId="6DF66805" w14:textId="77777777" w:rsidR="006470A6" w:rsidRPr="005F2E3E" w:rsidRDefault="006470A6">
      <w:pPr>
        <w:jc w:val="both"/>
        <w:rPr>
          <w:rFonts w:ascii="Helvetica 55 Roman" w:hAnsi="Helvetica 55 Roman"/>
          <w:sz w:val="20"/>
        </w:rPr>
      </w:pPr>
      <w:r w:rsidRPr="005F2E3E">
        <w:rPr>
          <w:rFonts w:ascii="Helvetica 55 Roman" w:hAnsi="Helvetica 55 Roman"/>
          <w:sz w:val="20"/>
        </w:rPr>
        <w:t xml:space="preserve">After the Initial Order (required for the Bring </w:t>
      </w:r>
      <w:proofErr w:type="gramStart"/>
      <w:r w:rsidR="005F2E3E">
        <w:rPr>
          <w:rFonts w:ascii="Helvetica 55 Roman" w:hAnsi="Helvetica 55 Roman"/>
          <w:sz w:val="20"/>
        </w:rPr>
        <w:t>I</w:t>
      </w:r>
      <w:r w:rsidR="005F2E3E" w:rsidRPr="005F2E3E">
        <w:rPr>
          <w:rFonts w:ascii="Helvetica 55 Roman" w:hAnsi="Helvetica 55 Roman"/>
          <w:sz w:val="20"/>
        </w:rPr>
        <w:t>nto</w:t>
      </w:r>
      <w:proofErr w:type="gramEnd"/>
      <w:r w:rsidRPr="005F2E3E">
        <w:rPr>
          <w:rFonts w:ascii="Helvetica 55 Roman" w:hAnsi="Helvetica 55 Roman"/>
          <w:sz w:val="20"/>
        </w:rPr>
        <w:t xml:space="preserve"> Service date), an Interconnection Agreement must have been signed before any subsequent Firm Orders can be accepted. </w:t>
      </w:r>
    </w:p>
    <w:p w14:paraId="6DF66806" w14:textId="77777777" w:rsidR="006470A6" w:rsidRPr="005F2E3E" w:rsidRDefault="006470A6">
      <w:pPr>
        <w:jc w:val="both"/>
        <w:rPr>
          <w:rFonts w:ascii="Helvetica 55 Roman" w:hAnsi="Helvetica 55 Roman"/>
          <w:sz w:val="20"/>
        </w:rPr>
      </w:pPr>
      <w:r w:rsidRPr="005F2E3E">
        <w:rPr>
          <w:rFonts w:ascii="Helvetica 55 Roman" w:hAnsi="Helvetica 55 Roman"/>
          <w:sz w:val="20"/>
        </w:rPr>
        <w:t>A Party can submit only one Capacity Order in a given quarter. This order will cover the capacity needs for the subsequent quarter (Order in Q</w:t>
      </w:r>
      <w:r w:rsidRPr="005F2E3E">
        <w:rPr>
          <w:rFonts w:ascii="Helvetica 55 Roman" w:hAnsi="Helvetica 55 Roman"/>
          <w:sz w:val="20"/>
          <w:vertAlign w:val="subscript"/>
        </w:rPr>
        <w:t>i</w:t>
      </w:r>
      <w:r w:rsidRPr="005F2E3E">
        <w:rPr>
          <w:rFonts w:ascii="Helvetica 55 Roman" w:hAnsi="Helvetica 55 Roman"/>
          <w:sz w:val="20"/>
        </w:rPr>
        <w:t xml:space="preserve"> covers capacity needs in Q</w:t>
      </w:r>
      <w:r w:rsidRPr="005F2E3E">
        <w:rPr>
          <w:rFonts w:ascii="Helvetica 55 Roman" w:hAnsi="Helvetica 55 Roman"/>
          <w:sz w:val="20"/>
          <w:vertAlign w:val="subscript"/>
        </w:rPr>
        <w:t>i+1</w:t>
      </w:r>
      <w:r w:rsidRPr="005F2E3E">
        <w:rPr>
          <w:rFonts w:ascii="Helvetica 55 Roman" w:hAnsi="Helvetica 55 Roman"/>
          <w:sz w:val="20"/>
        </w:rPr>
        <w:t xml:space="preserve">). One Capacity Order can only cover the required capacity concerning the next Quarter (One order for One Quarter principle). </w:t>
      </w:r>
    </w:p>
    <w:p w14:paraId="6DF66807" w14:textId="77777777" w:rsidR="006470A6" w:rsidRPr="005F2E3E" w:rsidRDefault="006470A6">
      <w:pPr>
        <w:jc w:val="both"/>
        <w:rPr>
          <w:rFonts w:ascii="Helvetica 55 Roman" w:hAnsi="Helvetica 55 Roman"/>
          <w:sz w:val="20"/>
        </w:rPr>
      </w:pPr>
      <w:r w:rsidRPr="005F2E3E">
        <w:rPr>
          <w:rFonts w:ascii="Helvetica 55 Roman" w:hAnsi="Helvetica 55 Roman"/>
          <w:sz w:val="20"/>
        </w:rPr>
        <w:t>"Capacity Order" must be understood in its broad sense. It does not only concern pure</w:t>
      </w:r>
      <w:r w:rsidR="005F2E3E">
        <w:rPr>
          <w:rFonts w:ascii="Helvetica 55 Roman" w:hAnsi="Helvetica 55 Roman"/>
          <w:sz w:val="20"/>
        </w:rPr>
        <w:t xml:space="preserve"> bandwidth</w:t>
      </w:r>
      <w:r w:rsidRPr="005F2E3E">
        <w:rPr>
          <w:rFonts w:ascii="Helvetica 55 Roman" w:hAnsi="Helvetica 55 Roman"/>
          <w:sz w:val="20"/>
        </w:rPr>
        <w:t xml:space="preserve"> capacity extension but general capacity rearrangement (swaps or capacity decrease) and SS7</w:t>
      </w:r>
      <w:r w:rsidR="00FC3FE8">
        <w:rPr>
          <w:rFonts w:ascii="Helvetica 55 Roman" w:hAnsi="Helvetica 55 Roman"/>
          <w:sz w:val="20"/>
        </w:rPr>
        <w:t xml:space="preserve"> and SIP</w:t>
      </w:r>
      <w:r w:rsidRPr="005F2E3E">
        <w:rPr>
          <w:rFonts w:ascii="Helvetica 55 Roman" w:hAnsi="Helvetica 55 Roman"/>
          <w:sz w:val="20"/>
        </w:rPr>
        <w:t xml:space="preserve"> related work. This also includes ordering of internal cabling, whether in the </w:t>
      </w:r>
      <w:r w:rsidR="006850D4" w:rsidRPr="005F2E3E">
        <w:rPr>
          <w:rFonts w:ascii="Helvetica 55 Roman" w:hAnsi="Helvetica 55 Roman"/>
          <w:sz w:val="20"/>
        </w:rPr>
        <w:t>Orange Belgium</w:t>
      </w:r>
      <w:r w:rsidRPr="005F2E3E">
        <w:rPr>
          <w:rFonts w:ascii="Helvetica 55 Roman" w:hAnsi="Helvetica 55 Roman"/>
          <w:sz w:val="20"/>
        </w:rPr>
        <w:t xml:space="preserve"> Co-location framework.</w:t>
      </w:r>
    </w:p>
    <w:p w14:paraId="6DF66808" w14:textId="77777777" w:rsidR="00055D86" w:rsidRDefault="006470A6">
      <w:pPr>
        <w:jc w:val="both"/>
        <w:rPr>
          <w:rFonts w:ascii="Helvetica 55 Roman" w:hAnsi="Helvetica 55 Roman"/>
          <w:sz w:val="20"/>
        </w:rPr>
      </w:pPr>
      <w:r w:rsidRPr="005F2E3E">
        <w:rPr>
          <w:rFonts w:ascii="Helvetica 55 Roman" w:hAnsi="Helvetica 55 Roman"/>
          <w:sz w:val="20"/>
        </w:rPr>
        <w:t xml:space="preserve">One party shall always present the quarterly firm orders to the other party during the TIC meetings. The agreement reached between both parties will then be made official using a standard ordering form (please refer to annex). </w:t>
      </w:r>
    </w:p>
    <w:p w14:paraId="6DF66809" w14:textId="77777777" w:rsidR="006470A6" w:rsidRPr="005F2E3E" w:rsidRDefault="006470A6">
      <w:pPr>
        <w:jc w:val="both"/>
        <w:rPr>
          <w:rFonts w:ascii="Helvetica 55 Roman" w:hAnsi="Helvetica 55 Roman"/>
          <w:sz w:val="20"/>
        </w:rPr>
      </w:pPr>
      <w:r w:rsidRPr="005F2E3E">
        <w:rPr>
          <w:rFonts w:ascii="Helvetica 55 Roman" w:hAnsi="Helvetica 55 Roman"/>
          <w:sz w:val="20"/>
        </w:rPr>
        <w:t>As far as the requested order is not exceeding the allowed capacity deviation of a previous forecast, there will in principle not be any discussion on the capacity content of the order.</w:t>
      </w:r>
    </w:p>
    <w:p w14:paraId="6DF6680A" w14:textId="445BF4D8" w:rsidR="006470A6" w:rsidRPr="005F2E3E" w:rsidRDefault="006470A6" w:rsidP="00055D86">
      <w:pPr>
        <w:jc w:val="both"/>
        <w:rPr>
          <w:rFonts w:ascii="Helvetica 55 Roman" w:hAnsi="Helvetica 55 Roman"/>
          <w:sz w:val="20"/>
        </w:rPr>
      </w:pPr>
      <w:r w:rsidRPr="005F2E3E">
        <w:rPr>
          <w:rFonts w:ascii="Helvetica 55 Roman" w:hAnsi="Helvetica 55 Roman"/>
          <w:sz w:val="20"/>
        </w:rPr>
        <w:t xml:space="preserve">On the other hand, discussions can concern any practical implementation issues (target installation timing, phasing of the order if needed, practical organisation of swaps), staying aligned with the content of the chapter </w:t>
      </w:r>
      <w:r w:rsidR="00CA2CF9">
        <w:rPr>
          <w:rFonts w:ascii="Helvetica 55 Roman" w:hAnsi="Helvetica 55 Roman"/>
          <w:sz w:val="20"/>
        </w:rPr>
        <w:t>5</w:t>
      </w:r>
      <w:r w:rsidRPr="005F2E3E">
        <w:rPr>
          <w:rFonts w:ascii="Helvetica 55 Roman" w:hAnsi="Helvetica 55 Roman"/>
          <w:sz w:val="20"/>
        </w:rPr>
        <w:t xml:space="preserve"> (Lead Times). </w:t>
      </w:r>
    </w:p>
    <w:p w14:paraId="6DF6680B" w14:textId="77777777" w:rsidR="006470A6" w:rsidRPr="00AC56F7" w:rsidRDefault="006470A6">
      <w:pPr>
        <w:pStyle w:val="Optie"/>
        <w:jc w:val="both"/>
        <w:rPr>
          <w:rFonts w:ascii="Helvetica 55 Roman" w:hAnsi="Helvetica 55 Roman"/>
        </w:rPr>
      </w:pPr>
    </w:p>
    <w:p w14:paraId="6DF6680C" w14:textId="77777777" w:rsidR="006470A6" w:rsidRPr="00AC56F7" w:rsidRDefault="006470A6">
      <w:pPr>
        <w:pStyle w:val="Heading4"/>
        <w:jc w:val="both"/>
        <w:rPr>
          <w:rFonts w:ascii="Helvetica 55 Roman" w:hAnsi="Helvetica 55 Roman"/>
        </w:rPr>
      </w:pPr>
      <w:r w:rsidRPr="00AC56F7">
        <w:rPr>
          <w:rFonts w:ascii="Helvetica 55 Roman" w:hAnsi="Helvetica 55 Roman"/>
        </w:rPr>
        <w:t>IC link delivery and timing</w:t>
      </w:r>
    </w:p>
    <w:p w14:paraId="6DF6680D" w14:textId="7F5091A7" w:rsidR="006470A6" w:rsidRPr="00FC3FE8" w:rsidRDefault="006470A6">
      <w:pPr>
        <w:jc w:val="both"/>
        <w:rPr>
          <w:rFonts w:ascii="Helvetica 55 Roman" w:hAnsi="Helvetica 55 Roman"/>
          <w:sz w:val="20"/>
        </w:rPr>
      </w:pPr>
      <w:r w:rsidRPr="00FC3FE8">
        <w:rPr>
          <w:rFonts w:ascii="Helvetica 55 Roman" w:hAnsi="Helvetica 55 Roman"/>
          <w:sz w:val="20"/>
        </w:rPr>
        <w:t xml:space="preserve">The RFS </w:t>
      </w:r>
      <w:r w:rsidR="00FC3FE8">
        <w:rPr>
          <w:rFonts w:ascii="Helvetica 55 Roman" w:hAnsi="Helvetica 55 Roman"/>
          <w:sz w:val="20"/>
        </w:rPr>
        <w:t xml:space="preserve">(Ready </w:t>
      </w:r>
      <w:proofErr w:type="gramStart"/>
      <w:r w:rsidR="00FC3FE8">
        <w:rPr>
          <w:rFonts w:ascii="Helvetica 55 Roman" w:hAnsi="Helvetica 55 Roman"/>
          <w:sz w:val="20"/>
        </w:rPr>
        <w:t>For</w:t>
      </w:r>
      <w:proofErr w:type="gramEnd"/>
      <w:r w:rsidR="00FC3FE8">
        <w:rPr>
          <w:rFonts w:ascii="Helvetica 55 Roman" w:hAnsi="Helvetica 55 Roman"/>
          <w:sz w:val="20"/>
        </w:rPr>
        <w:t xml:space="preserve"> Service) dates, or IP</w:t>
      </w:r>
      <w:r w:rsidRPr="00FC3FE8">
        <w:rPr>
          <w:rFonts w:ascii="Helvetica 55 Roman" w:hAnsi="Helvetica 55 Roman"/>
          <w:sz w:val="20"/>
        </w:rPr>
        <w:t xml:space="preserve"> link delivery dates, which are agreed between both Parties, include the time necessary to perform the acceptance tests between </w:t>
      </w:r>
      <w:r w:rsidR="006850D4" w:rsidRPr="00FC3FE8">
        <w:rPr>
          <w:rFonts w:ascii="Helvetica 55 Roman" w:hAnsi="Helvetica 55 Roman"/>
          <w:sz w:val="20"/>
        </w:rPr>
        <w:t>Orange Belgium</w:t>
      </w:r>
      <w:r w:rsidRPr="00FC3FE8">
        <w:rPr>
          <w:rFonts w:ascii="Helvetica 55 Roman" w:hAnsi="Helvetica 55 Roman"/>
          <w:sz w:val="20"/>
        </w:rPr>
        <w:t xml:space="preserve"> and </w:t>
      </w:r>
      <w:r w:rsidR="00F861E0">
        <w:rPr>
          <w:rFonts w:ascii="Helvetica 55 Roman" w:hAnsi="Helvetica 55 Roman"/>
          <w:sz w:val="20"/>
        </w:rPr>
        <w:t>Operator</w:t>
      </w:r>
      <w:r w:rsidRPr="00FC3FE8">
        <w:rPr>
          <w:rFonts w:ascii="Helvetica 55 Roman" w:hAnsi="Helvetica 55 Roman"/>
          <w:sz w:val="20"/>
        </w:rPr>
        <w:t>. These acceptance tests must therefore take place before RFS.</w:t>
      </w:r>
    </w:p>
    <w:p w14:paraId="6DF6680E" w14:textId="77777777" w:rsidR="006470A6" w:rsidRPr="00AC56F7" w:rsidRDefault="006470A6" w:rsidP="00055D86">
      <w:pPr>
        <w:pStyle w:val="Heading3"/>
        <w:ind w:left="720"/>
        <w:jc w:val="both"/>
        <w:rPr>
          <w:rFonts w:ascii="Helvetica 55 Roman" w:hAnsi="Helvetica 55 Roman"/>
        </w:rPr>
      </w:pPr>
      <w:bookmarkStart w:id="24" w:name="_Ref417954429"/>
      <w:bookmarkStart w:id="25" w:name="_Toc45704635"/>
      <w:bookmarkStart w:id="26" w:name="_Ref416685960"/>
      <w:r w:rsidRPr="00AC56F7">
        <w:rPr>
          <w:rFonts w:ascii="Helvetica 55 Roman" w:hAnsi="Helvetica 55 Roman"/>
        </w:rPr>
        <w:t>Deviations</w:t>
      </w:r>
      <w:bookmarkEnd w:id="24"/>
      <w:bookmarkEnd w:id="25"/>
      <w:r w:rsidRPr="00AC56F7">
        <w:rPr>
          <w:rFonts w:ascii="Helvetica 55 Roman" w:hAnsi="Helvetica 55 Roman"/>
        </w:rPr>
        <w:t xml:space="preserve"> </w:t>
      </w:r>
    </w:p>
    <w:p w14:paraId="6DF6680F" w14:textId="77777777" w:rsidR="006470A6" w:rsidRPr="00FC3FE8" w:rsidRDefault="006470A6">
      <w:pPr>
        <w:jc w:val="both"/>
        <w:rPr>
          <w:rFonts w:ascii="Helvetica 55 Roman" w:hAnsi="Helvetica 55 Roman"/>
          <w:sz w:val="20"/>
        </w:rPr>
      </w:pPr>
      <w:r w:rsidRPr="00FC3FE8">
        <w:rPr>
          <w:rFonts w:ascii="Helvetica 55 Roman" w:hAnsi="Helvetica 55 Roman"/>
          <w:sz w:val="20"/>
        </w:rPr>
        <w:t>When introducing a 1-year Rolling Forecast or a Firm Order, the indicated Transmission and Switching Capacity extension of a particular I</w:t>
      </w:r>
      <w:r w:rsidR="00FC3FE8">
        <w:rPr>
          <w:rFonts w:ascii="Helvetica 55 Roman" w:hAnsi="Helvetica 55 Roman"/>
          <w:sz w:val="20"/>
        </w:rPr>
        <w:t>P</w:t>
      </w:r>
      <w:r w:rsidRPr="00FC3FE8">
        <w:rPr>
          <w:rFonts w:ascii="Helvetica 55 Roman" w:hAnsi="Helvetica 55 Roman"/>
          <w:sz w:val="20"/>
        </w:rPr>
        <w:t xml:space="preserve"> Link for a particular quarter may deviate from the Capacity extension mentioned in a previous Rolling Forecast related to the same I</w:t>
      </w:r>
      <w:r w:rsidR="00FC3FE8">
        <w:rPr>
          <w:rFonts w:ascii="Helvetica 55 Roman" w:hAnsi="Helvetica 55 Roman"/>
          <w:sz w:val="20"/>
        </w:rPr>
        <w:t>P</w:t>
      </w:r>
      <w:r w:rsidRPr="00FC3FE8">
        <w:rPr>
          <w:rFonts w:ascii="Helvetica 55 Roman" w:hAnsi="Helvetica 55 Roman"/>
          <w:sz w:val="20"/>
        </w:rPr>
        <w:t xml:space="preserve"> Link and the same quarter, as indicated below. </w:t>
      </w:r>
    </w:p>
    <w:p w14:paraId="6DF66810" w14:textId="77777777" w:rsidR="006470A6" w:rsidRPr="00FC3FE8" w:rsidRDefault="006470A6">
      <w:pPr>
        <w:jc w:val="both"/>
        <w:rPr>
          <w:rFonts w:ascii="Helvetica 55 Roman" w:hAnsi="Helvetica 55 Roman"/>
          <w:sz w:val="20"/>
        </w:rPr>
      </w:pPr>
      <w:r w:rsidRPr="00FC3FE8">
        <w:rPr>
          <w:rFonts w:ascii="Helvetica 55 Roman" w:hAnsi="Helvetica 55 Roman"/>
          <w:sz w:val="20"/>
        </w:rPr>
        <w:t>More precisely, the values for Capacity extensions included in a Rolling Forecast related to a particular I</w:t>
      </w:r>
      <w:r w:rsidR="00FC3FE8">
        <w:rPr>
          <w:rFonts w:ascii="Helvetica 55 Roman" w:hAnsi="Helvetica 55 Roman"/>
          <w:sz w:val="20"/>
        </w:rPr>
        <w:t>P</w:t>
      </w:r>
      <w:r w:rsidRPr="00FC3FE8">
        <w:rPr>
          <w:rFonts w:ascii="Helvetica 55 Roman" w:hAnsi="Helvetica 55 Roman"/>
          <w:sz w:val="20"/>
        </w:rPr>
        <w:t xml:space="preserve"> LINK, submitted in quarter Q</w:t>
      </w:r>
      <w:r w:rsidRPr="00FC3FE8">
        <w:rPr>
          <w:rFonts w:ascii="Helvetica 55 Roman" w:hAnsi="Helvetica 55 Roman"/>
          <w:sz w:val="20"/>
          <w:vertAlign w:val="subscript"/>
        </w:rPr>
        <w:t>i</w:t>
      </w:r>
      <w:r w:rsidRPr="00FC3FE8">
        <w:rPr>
          <w:rFonts w:ascii="Helvetica 55 Roman" w:hAnsi="Helvetica 55 Roman"/>
          <w:sz w:val="20"/>
        </w:rPr>
        <w:t xml:space="preserve"> for each quarter </w:t>
      </w:r>
      <w:proofErr w:type="spellStart"/>
      <w:r w:rsidRPr="00FC3FE8">
        <w:rPr>
          <w:rFonts w:ascii="Helvetica 55 Roman" w:hAnsi="Helvetica 55 Roman"/>
          <w:sz w:val="20"/>
        </w:rPr>
        <w:t>Q</w:t>
      </w:r>
      <w:r w:rsidRPr="00FC3FE8">
        <w:rPr>
          <w:rFonts w:ascii="Helvetica 55 Roman" w:hAnsi="Helvetica 55 Roman"/>
          <w:sz w:val="20"/>
          <w:vertAlign w:val="subscript"/>
        </w:rPr>
        <w:t>i+x</w:t>
      </w:r>
      <w:proofErr w:type="spellEnd"/>
      <w:r w:rsidRPr="00FC3FE8">
        <w:rPr>
          <w:rFonts w:ascii="Helvetica 55 Roman" w:hAnsi="Helvetica 55 Roman"/>
          <w:sz w:val="20"/>
        </w:rPr>
        <w:t>, are to be compared with the Capacity extension estimations for the same I</w:t>
      </w:r>
      <w:r w:rsidR="00FC3FE8">
        <w:rPr>
          <w:rFonts w:ascii="Helvetica 55 Roman" w:hAnsi="Helvetica 55 Roman"/>
          <w:sz w:val="20"/>
        </w:rPr>
        <w:t>P</w:t>
      </w:r>
      <w:r w:rsidRPr="00FC3FE8">
        <w:rPr>
          <w:rFonts w:ascii="Helvetica 55 Roman" w:hAnsi="Helvetica 55 Roman"/>
          <w:sz w:val="20"/>
        </w:rPr>
        <w:t xml:space="preserve"> Link for each quarter Q</w:t>
      </w:r>
      <w:r w:rsidRPr="00FC3FE8">
        <w:rPr>
          <w:rFonts w:ascii="Helvetica 55 Roman" w:hAnsi="Helvetica 55 Roman"/>
          <w:sz w:val="20"/>
          <w:vertAlign w:val="subscript"/>
        </w:rPr>
        <w:t>i+x+1</w:t>
      </w:r>
      <w:r w:rsidRPr="00FC3FE8">
        <w:rPr>
          <w:rFonts w:ascii="Helvetica 55 Roman" w:hAnsi="Helvetica 55 Roman"/>
          <w:sz w:val="20"/>
        </w:rPr>
        <w:t xml:space="preserve"> mentioned in the previous forecast submitted in quarter Q</w:t>
      </w:r>
      <w:r w:rsidRPr="00FC3FE8">
        <w:rPr>
          <w:rFonts w:ascii="Helvetica 55 Roman" w:hAnsi="Helvetica 55 Roman"/>
          <w:sz w:val="20"/>
          <w:vertAlign w:val="subscript"/>
        </w:rPr>
        <w:t>i-1</w:t>
      </w:r>
      <w:r w:rsidRPr="00FC3FE8">
        <w:rPr>
          <w:rFonts w:ascii="Helvetica 55 Roman" w:hAnsi="Helvetica 55 Roman"/>
          <w:sz w:val="20"/>
        </w:rPr>
        <w:t>. A firm Order submitted in quarter Q</w:t>
      </w:r>
      <w:r w:rsidRPr="00FC3FE8">
        <w:rPr>
          <w:rFonts w:ascii="Helvetica 55 Roman" w:hAnsi="Helvetica 55 Roman"/>
          <w:sz w:val="20"/>
          <w:vertAlign w:val="subscript"/>
        </w:rPr>
        <w:t>i</w:t>
      </w:r>
      <w:r w:rsidRPr="00FC3FE8">
        <w:rPr>
          <w:rFonts w:ascii="Helvetica 55 Roman" w:hAnsi="Helvetica 55 Roman"/>
          <w:sz w:val="20"/>
        </w:rPr>
        <w:t xml:space="preserve"> related to the delivery of Capacity with RFS in quarter Q</w:t>
      </w:r>
      <w:r w:rsidRPr="00FC3FE8">
        <w:rPr>
          <w:rFonts w:ascii="Helvetica 55 Roman" w:hAnsi="Helvetica 55 Roman"/>
          <w:sz w:val="20"/>
          <w:vertAlign w:val="subscript"/>
        </w:rPr>
        <w:t xml:space="preserve">i+1 </w:t>
      </w:r>
      <w:r w:rsidRPr="00FC3FE8">
        <w:rPr>
          <w:rFonts w:ascii="Helvetica 55 Roman" w:hAnsi="Helvetica 55 Roman"/>
          <w:sz w:val="20"/>
        </w:rPr>
        <w:t>will be compared with the Capacity estimation for the same quarter Q</w:t>
      </w:r>
      <w:r w:rsidRPr="00FC3FE8">
        <w:rPr>
          <w:rFonts w:ascii="Helvetica 55 Roman" w:hAnsi="Helvetica 55 Roman"/>
          <w:sz w:val="20"/>
          <w:vertAlign w:val="subscript"/>
        </w:rPr>
        <w:t xml:space="preserve"> i+1 </w:t>
      </w:r>
      <w:r w:rsidRPr="00FC3FE8">
        <w:rPr>
          <w:rFonts w:ascii="Helvetica 55 Roman" w:hAnsi="Helvetica 55 Roman"/>
          <w:sz w:val="20"/>
        </w:rPr>
        <w:t>and for the same I</w:t>
      </w:r>
      <w:r w:rsidR="00FC3FE8">
        <w:rPr>
          <w:rFonts w:ascii="Helvetica 55 Roman" w:hAnsi="Helvetica 55 Roman"/>
          <w:sz w:val="20"/>
        </w:rPr>
        <w:t xml:space="preserve">P </w:t>
      </w:r>
      <w:r w:rsidRPr="00FC3FE8">
        <w:rPr>
          <w:rFonts w:ascii="Helvetica 55 Roman" w:hAnsi="Helvetica 55 Roman"/>
          <w:sz w:val="20"/>
        </w:rPr>
        <w:t>Link included in the Rolling Forecast submitted in Q</w:t>
      </w:r>
      <w:r w:rsidRPr="00FC3FE8">
        <w:rPr>
          <w:rFonts w:ascii="Helvetica 55 Roman" w:hAnsi="Helvetica 55 Roman"/>
          <w:sz w:val="20"/>
          <w:vertAlign w:val="subscript"/>
        </w:rPr>
        <w:t>i-1</w:t>
      </w:r>
      <w:r w:rsidRPr="00FC3FE8">
        <w:rPr>
          <w:rFonts w:ascii="Helvetica 55 Roman" w:hAnsi="Helvetica 55 Roman"/>
          <w:sz w:val="20"/>
        </w:rPr>
        <w:t>.</w:t>
      </w:r>
    </w:p>
    <w:p w14:paraId="6DF66811" w14:textId="77777777" w:rsidR="006470A6" w:rsidRPr="00FC3FE8" w:rsidRDefault="006470A6">
      <w:pPr>
        <w:jc w:val="both"/>
        <w:rPr>
          <w:rFonts w:ascii="Helvetica 55 Roman" w:hAnsi="Helvetica 55 Roman"/>
          <w:sz w:val="20"/>
        </w:rPr>
      </w:pPr>
      <w:r w:rsidRPr="00FC3FE8">
        <w:rPr>
          <w:rFonts w:ascii="Helvetica 55 Roman" w:hAnsi="Helvetica 55 Roman"/>
          <w:sz w:val="20"/>
        </w:rPr>
        <w:t xml:space="preserve">The allowed deviations on the absolute number of </w:t>
      </w:r>
      <w:r w:rsidR="00FC3FE8">
        <w:rPr>
          <w:rFonts w:ascii="Helvetica 55 Roman" w:hAnsi="Helvetica 55 Roman"/>
          <w:sz w:val="20"/>
        </w:rPr>
        <w:t>bandwidth</w:t>
      </w:r>
      <w:r w:rsidRPr="00FC3FE8">
        <w:rPr>
          <w:rFonts w:ascii="Helvetica 55 Roman" w:hAnsi="Helvetica 55 Roman"/>
          <w:sz w:val="20"/>
        </w:rPr>
        <w:t>, as indicated in the table below, are expressed, either as a percentage of the value contained in the previous forecast/ordering intention</w:t>
      </w:r>
      <w:r w:rsidR="00FC3FE8">
        <w:rPr>
          <w:rFonts w:ascii="Helvetica 55 Roman" w:hAnsi="Helvetica 55 Roman"/>
          <w:sz w:val="20"/>
        </w:rPr>
        <w:t xml:space="preserve">, </w:t>
      </w:r>
      <w:r w:rsidRPr="00FC3FE8">
        <w:rPr>
          <w:rFonts w:ascii="Helvetica 55 Roman" w:hAnsi="Helvetica 55 Roman"/>
          <w:sz w:val="20"/>
        </w:rPr>
        <w:t>either as a</w:t>
      </w:r>
      <w:r w:rsidR="00FC3FE8">
        <w:rPr>
          <w:rFonts w:ascii="Helvetica 55 Roman" w:hAnsi="Helvetica 55 Roman"/>
          <w:sz w:val="20"/>
        </w:rPr>
        <w:t>n</w:t>
      </w:r>
      <w:r w:rsidRPr="00FC3FE8">
        <w:rPr>
          <w:rFonts w:ascii="Helvetica 55 Roman" w:hAnsi="Helvetica 55 Roman"/>
          <w:sz w:val="20"/>
        </w:rPr>
        <w:t xml:space="preserve"> absolute number of </w:t>
      </w:r>
      <w:r w:rsidR="00FC3FE8">
        <w:rPr>
          <w:rFonts w:ascii="Helvetica 55 Roman" w:hAnsi="Helvetica 55 Roman"/>
          <w:sz w:val="20"/>
        </w:rPr>
        <w:t>bandwidth</w:t>
      </w:r>
      <w:r w:rsidRPr="00FC3FE8">
        <w:rPr>
          <w:rFonts w:ascii="Helvetica 55 Roman" w:hAnsi="Helvetica 55 Roman"/>
          <w:sz w:val="20"/>
        </w:rPr>
        <w:t>, whatever is the greatest. The indicated deviations are applicable as well in plus as in minus and result in an upper and a lower deviation limit within which a new forecast/Firm Order can range.</w:t>
      </w:r>
    </w:p>
    <w:p w14:paraId="6DF66812" w14:textId="77777777" w:rsidR="006470A6" w:rsidRPr="00AC56F7" w:rsidRDefault="006470A6">
      <w:pPr>
        <w:jc w:val="both"/>
        <w:rPr>
          <w:rFonts w:ascii="Helvetica 55 Roman" w:hAnsi="Helvetica 55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7"/>
        <w:gridCol w:w="1857"/>
        <w:gridCol w:w="1857"/>
      </w:tblGrid>
      <w:tr w:rsidR="006470A6" w:rsidRPr="00AC56F7" w14:paraId="6DF66818" w14:textId="77777777">
        <w:tc>
          <w:tcPr>
            <w:tcW w:w="1857" w:type="dxa"/>
          </w:tcPr>
          <w:p w14:paraId="6DF66813" w14:textId="77777777" w:rsidR="006470A6" w:rsidRPr="00AC56F7" w:rsidRDefault="006470A6">
            <w:pPr>
              <w:pStyle w:val="Header"/>
              <w:tabs>
                <w:tab w:val="clear" w:pos="4153"/>
                <w:tab w:val="clear" w:pos="8306"/>
              </w:tabs>
              <w:spacing w:before="120" w:after="120"/>
              <w:jc w:val="both"/>
              <w:rPr>
                <w:rFonts w:ascii="Helvetica 55 Roman" w:hAnsi="Helvetica 55 Roman"/>
              </w:rPr>
            </w:pPr>
          </w:p>
        </w:tc>
        <w:tc>
          <w:tcPr>
            <w:tcW w:w="1857" w:type="dxa"/>
          </w:tcPr>
          <w:p w14:paraId="6DF66814" w14:textId="77777777" w:rsidR="006470A6" w:rsidRPr="00AC56F7" w:rsidRDefault="006470A6">
            <w:pPr>
              <w:pStyle w:val="Header"/>
              <w:tabs>
                <w:tab w:val="clear" w:pos="4153"/>
                <w:tab w:val="clear" w:pos="8306"/>
              </w:tabs>
              <w:spacing w:before="120" w:after="120"/>
              <w:jc w:val="both"/>
              <w:rPr>
                <w:rFonts w:ascii="Helvetica 55 Roman" w:hAnsi="Helvetica 55 Roman"/>
              </w:rPr>
            </w:pPr>
            <w:r w:rsidRPr="00AC56F7">
              <w:rPr>
                <w:rFonts w:ascii="Helvetica 55 Roman" w:hAnsi="Helvetica 55 Roman"/>
              </w:rPr>
              <w:t>Qi+1</w:t>
            </w:r>
          </w:p>
        </w:tc>
        <w:tc>
          <w:tcPr>
            <w:tcW w:w="1857" w:type="dxa"/>
          </w:tcPr>
          <w:p w14:paraId="6DF66815" w14:textId="77777777" w:rsidR="006470A6" w:rsidRPr="00AC56F7" w:rsidRDefault="006470A6">
            <w:pPr>
              <w:pStyle w:val="Header"/>
              <w:tabs>
                <w:tab w:val="clear" w:pos="4153"/>
                <w:tab w:val="clear" w:pos="8306"/>
              </w:tabs>
              <w:spacing w:before="120" w:after="120"/>
              <w:jc w:val="both"/>
              <w:rPr>
                <w:rFonts w:ascii="Helvetica 55 Roman" w:hAnsi="Helvetica 55 Roman"/>
              </w:rPr>
            </w:pPr>
            <w:r w:rsidRPr="00AC56F7">
              <w:rPr>
                <w:rFonts w:ascii="Helvetica 55 Roman" w:hAnsi="Helvetica 55 Roman"/>
              </w:rPr>
              <w:t>Qi+2</w:t>
            </w:r>
          </w:p>
        </w:tc>
        <w:tc>
          <w:tcPr>
            <w:tcW w:w="1857" w:type="dxa"/>
          </w:tcPr>
          <w:p w14:paraId="6DF66816" w14:textId="77777777" w:rsidR="006470A6" w:rsidRPr="00AC56F7" w:rsidRDefault="006470A6">
            <w:pPr>
              <w:pStyle w:val="Header"/>
              <w:tabs>
                <w:tab w:val="clear" w:pos="4153"/>
                <w:tab w:val="clear" w:pos="8306"/>
              </w:tabs>
              <w:spacing w:before="120" w:after="120"/>
              <w:jc w:val="both"/>
              <w:rPr>
                <w:rFonts w:ascii="Helvetica 55 Roman" w:hAnsi="Helvetica 55 Roman"/>
              </w:rPr>
            </w:pPr>
            <w:r w:rsidRPr="00AC56F7">
              <w:rPr>
                <w:rFonts w:ascii="Helvetica 55 Roman" w:hAnsi="Helvetica 55 Roman"/>
              </w:rPr>
              <w:t>Qi+3</w:t>
            </w:r>
          </w:p>
        </w:tc>
        <w:tc>
          <w:tcPr>
            <w:tcW w:w="1857" w:type="dxa"/>
          </w:tcPr>
          <w:p w14:paraId="6DF66817" w14:textId="77777777" w:rsidR="006470A6" w:rsidRPr="00AC56F7" w:rsidRDefault="006470A6">
            <w:pPr>
              <w:pStyle w:val="Header"/>
              <w:tabs>
                <w:tab w:val="clear" w:pos="4153"/>
                <w:tab w:val="clear" w:pos="8306"/>
              </w:tabs>
              <w:spacing w:before="120" w:after="120"/>
              <w:jc w:val="both"/>
              <w:rPr>
                <w:rFonts w:ascii="Helvetica 55 Roman" w:hAnsi="Helvetica 55 Roman"/>
              </w:rPr>
            </w:pPr>
            <w:r w:rsidRPr="00AC56F7">
              <w:rPr>
                <w:rFonts w:ascii="Helvetica 55 Roman" w:hAnsi="Helvetica 55 Roman"/>
              </w:rPr>
              <w:t>QI+4</w:t>
            </w:r>
          </w:p>
        </w:tc>
      </w:tr>
      <w:tr w:rsidR="006470A6" w:rsidRPr="00AC56F7" w14:paraId="6DF6681E" w14:textId="77777777">
        <w:tc>
          <w:tcPr>
            <w:tcW w:w="1857" w:type="dxa"/>
          </w:tcPr>
          <w:p w14:paraId="6DF66819" w14:textId="77777777" w:rsidR="006470A6" w:rsidRPr="00AC56F7" w:rsidRDefault="006470A6">
            <w:pPr>
              <w:pStyle w:val="Header"/>
              <w:tabs>
                <w:tab w:val="clear" w:pos="4153"/>
                <w:tab w:val="clear" w:pos="8306"/>
              </w:tabs>
              <w:spacing w:before="120" w:after="120"/>
              <w:jc w:val="both"/>
              <w:rPr>
                <w:rFonts w:ascii="Helvetica 55 Roman" w:hAnsi="Helvetica 55 Roman"/>
              </w:rPr>
            </w:pPr>
            <w:r w:rsidRPr="00AC56F7">
              <w:rPr>
                <w:rFonts w:ascii="Helvetica 55 Roman" w:hAnsi="Helvetica 55 Roman"/>
              </w:rPr>
              <w:t>%</w:t>
            </w:r>
          </w:p>
        </w:tc>
        <w:tc>
          <w:tcPr>
            <w:tcW w:w="1857" w:type="dxa"/>
          </w:tcPr>
          <w:p w14:paraId="6DF6681A" w14:textId="77777777" w:rsidR="006470A6" w:rsidRPr="00AC56F7" w:rsidRDefault="006470A6">
            <w:pPr>
              <w:pStyle w:val="Header"/>
              <w:tabs>
                <w:tab w:val="clear" w:pos="4153"/>
                <w:tab w:val="clear" w:pos="8306"/>
              </w:tabs>
              <w:spacing w:before="120" w:after="120"/>
              <w:jc w:val="both"/>
              <w:rPr>
                <w:rFonts w:ascii="Helvetica 55 Roman" w:hAnsi="Helvetica 55 Roman"/>
              </w:rPr>
            </w:pPr>
            <w:r w:rsidRPr="00AC56F7">
              <w:rPr>
                <w:rFonts w:ascii="Helvetica 55 Roman" w:hAnsi="Helvetica 55 Roman"/>
              </w:rPr>
              <w:t>+5 / -5</w:t>
            </w:r>
          </w:p>
        </w:tc>
        <w:tc>
          <w:tcPr>
            <w:tcW w:w="1857" w:type="dxa"/>
          </w:tcPr>
          <w:p w14:paraId="6DF6681B" w14:textId="77777777" w:rsidR="006470A6" w:rsidRPr="00AC56F7" w:rsidRDefault="006470A6">
            <w:pPr>
              <w:pStyle w:val="Header"/>
              <w:tabs>
                <w:tab w:val="clear" w:pos="4153"/>
                <w:tab w:val="clear" w:pos="8306"/>
              </w:tabs>
              <w:spacing w:before="120" w:after="120"/>
              <w:jc w:val="both"/>
              <w:rPr>
                <w:rFonts w:ascii="Helvetica 55 Roman" w:hAnsi="Helvetica 55 Roman"/>
              </w:rPr>
            </w:pPr>
            <w:r w:rsidRPr="00AC56F7">
              <w:rPr>
                <w:rFonts w:ascii="Helvetica 55 Roman" w:hAnsi="Helvetica 55 Roman"/>
              </w:rPr>
              <w:t>+10 / -10</w:t>
            </w:r>
          </w:p>
        </w:tc>
        <w:tc>
          <w:tcPr>
            <w:tcW w:w="1857" w:type="dxa"/>
          </w:tcPr>
          <w:p w14:paraId="6DF6681C" w14:textId="77777777" w:rsidR="006470A6" w:rsidRPr="00AC56F7" w:rsidRDefault="006470A6">
            <w:pPr>
              <w:pStyle w:val="Header"/>
              <w:tabs>
                <w:tab w:val="clear" w:pos="4153"/>
                <w:tab w:val="clear" w:pos="8306"/>
              </w:tabs>
              <w:spacing w:before="120" w:after="120"/>
              <w:jc w:val="both"/>
              <w:rPr>
                <w:rFonts w:ascii="Helvetica 55 Roman" w:hAnsi="Helvetica 55 Roman"/>
              </w:rPr>
            </w:pPr>
            <w:r w:rsidRPr="00AC56F7">
              <w:rPr>
                <w:rFonts w:ascii="Helvetica 55 Roman" w:hAnsi="Helvetica 55 Roman"/>
              </w:rPr>
              <w:t>+20 / -20</w:t>
            </w:r>
          </w:p>
        </w:tc>
        <w:tc>
          <w:tcPr>
            <w:tcW w:w="1857" w:type="dxa"/>
          </w:tcPr>
          <w:p w14:paraId="6DF6681D" w14:textId="77777777" w:rsidR="006470A6" w:rsidRPr="00AC56F7" w:rsidRDefault="006470A6">
            <w:pPr>
              <w:pStyle w:val="Header"/>
              <w:tabs>
                <w:tab w:val="clear" w:pos="4153"/>
                <w:tab w:val="clear" w:pos="8306"/>
              </w:tabs>
              <w:spacing w:before="120" w:after="120"/>
              <w:jc w:val="both"/>
              <w:rPr>
                <w:rFonts w:ascii="Helvetica 55 Roman" w:hAnsi="Helvetica 55 Roman"/>
              </w:rPr>
            </w:pPr>
            <w:r w:rsidRPr="00AC56F7">
              <w:rPr>
                <w:rFonts w:ascii="Helvetica 55 Roman" w:hAnsi="Helvetica 55 Roman"/>
              </w:rPr>
              <w:t>N.A.</w:t>
            </w:r>
          </w:p>
        </w:tc>
      </w:tr>
    </w:tbl>
    <w:p w14:paraId="6DF6681F" w14:textId="77777777" w:rsidR="00D80D5F" w:rsidRPr="00AC56F7" w:rsidRDefault="00D80D5F">
      <w:pPr>
        <w:jc w:val="both"/>
        <w:rPr>
          <w:rFonts w:ascii="Helvetica 55 Roman" w:hAnsi="Helvetica 55 Roman"/>
        </w:rPr>
      </w:pPr>
    </w:p>
    <w:p w14:paraId="6DF66820" w14:textId="77777777" w:rsidR="006470A6" w:rsidRPr="00FC3FE8" w:rsidRDefault="006470A6">
      <w:pPr>
        <w:jc w:val="both"/>
        <w:rPr>
          <w:rFonts w:ascii="Helvetica 55 Roman" w:hAnsi="Helvetica 55 Roman"/>
          <w:sz w:val="20"/>
        </w:rPr>
      </w:pPr>
      <w:r w:rsidRPr="00FC3FE8">
        <w:rPr>
          <w:rFonts w:ascii="Helvetica 55 Roman" w:hAnsi="Helvetica 55 Roman"/>
          <w:sz w:val="20"/>
        </w:rPr>
        <w:t xml:space="preserve">The deviations indicated in the table cannot be used as a ground to modify a Firm Order that has been accepted by </w:t>
      </w:r>
      <w:r w:rsidR="006850D4" w:rsidRPr="00FC3FE8">
        <w:rPr>
          <w:rFonts w:ascii="Helvetica 55 Roman" w:hAnsi="Helvetica 55 Roman"/>
          <w:sz w:val="20"/>
        </w:rPr>
        <w:t>Orange Belgium</w:t>
      </w:r>
      <w:r w:rsidRPr="00FC3FE8">
        <w:rPr>
          <w:rFonts w:ascii="Helvetica 55 Roman" w:hAnsi="Helvetica 55 Roman"/>
          <w:sz w:val="20"/>
        </w:rPr>
        <w:t>.</w:t>
      </w:r>
    </w:p>
    <w:p w14:paraId="6DF66821" w14:textId="77777777" w:rsidR="006470A6" w:rsidRPr="00AC56F7" w:rsidRDefault="006470A6" w:rsidP="00055D86">
      <w:pPr>
        <w:pStyle w:val="Heading3"/>
        <w:ind w:left="720"/>
        <w:jc w:val="both"/>
        <w:rPr>
          <w:rFonts w:ascii="Helvetica 55 Roman" w:hAnsi="Helvetica 55 Roman"/>
        </w:rPr>
      </w:pPr>
      <w:bookmarkStart w:id="27" w:name="_Toc45704636"/>
      <w:r w:rsidRPr="00AC56F7">
        <w:rPr>
          <w:rFonts w:ascii="Helvetica 55 Roman" w:hAnsi="Helvetica 55 Roman"/>
        </w:rPr>
        <w:lastRenderedPageBreak/>
        <w:t>Order Acceptance</w:t>
      </w:r>
      <w:bookmarkEnd w:id="27"/>
    </w:p>
    <w:p w14:paraId="6DF66822" w14:textId="56B8F412" w:rsidR="006470A6" w:rsidRPr="00FC3FE8" w:rsidRDefault="006470A6">
      <w:pPr>
        <w:spacing w:before="240"/>
        <w:jc w:val="both"/>
        <w:rPr>
          <w:rFonts w:ascii="Helvetica 55 Roman" w:hAnsi="Helvetica 55 Roman"/>
          <w:sz w:val="20"/>
        </w:rPr>
      </w:pPr>
      <w:r w:rsidRPr="00FC3FE8">
        <w:rPr>
          <w:rFonts w:ascii="Helvetica 55 Roman" w:hAnsi="Helvetica 55 Roman"/>
          <w:sz w:val="20"/>
        </w:rPr>
        <w:t>The Forecasts and Firm Orders made by a Party must respect the maximum allowed deviations per I</w:t>
      </w:r>
      <w:r w:rsidR="00FC3FE8">
        <w:rPr>
          <w:rFonts w:ascii="Helvetica 55 Roman" w:hAnsi="Helvetica 55 Roman"/>
          <w:sz w:val="20"/>
        </w:rPr>
        <w:t>P</w:t>
      </w:r>
      <w:r w:rsidRPr="00FC3FE8">
        <w:rPr>
          <w:rFonts w:ascii="Helvetica 55 Roman" w:hAnsi="Helvetica 55 Roman"/>
          <w:sz w:val="20"/>
        </w:rPr>
        <w:t xml:space="preserve"> Link as specified in Section </w:t>
      </w:r>
      <w:r w:rsidRPr="00FC3FE8">
        <w:rPr>
          <w:rFonts w:ascii="Helvetica 55 Roman" w:hAnsi="Helvetica 55 Roman"/>
          <w:sz w:val="20"/>
        </w:rPr>
        <w:fldChar w:fldCharType="begin"/>
      </w:r>
      <w:r w:rsidRPr="00FC3FE8">
        <w:rPr>
          <w:rFonts w:ascii="Helvetica 55 Roman" w:hAnsi="Helvetica 55 Roman"/>
          <w:sz w:val="20"/>
        </w:rPr>
        <w:instrText xml:space="preserve"> REF _Ref417954429 \n  \* MERGEFORMAT </w:instrText>
      </w:r>
      <w:r w:rsidRPr="00FC3FE8">
        <w:rPr>
          <w:rFonts w:ascii="Helvetica 55 Roman" w:hAnsi="Helvetica 55 Roman"/>
          <w:sz w:val="20"/>
        </w:rPr>
        <w:fldChar w:fldCharType="separate"/>
      </w:r>
      <w:r w:rsidR="00B612E2">
        <w:rPr>
          <w:rFonts w:ascii="Helvetica 55 Roman" w:hAnsi="Helvetica 55 Roman"/>
          <w:sz w:val="20"/>
        </w:rPr>
        <w:t>4</w:t>
      </w:r>
      <w:r w:rsidR="0031500F">
        <w:rPr>
          <w:rFonts w:ascii="Helvetica 55 Roman" w:hAnsi="Helvetica 55 Roman"/>
          <w:sz w:val="20"/>
        </w:rPr>
        <w:t>.3.3</w:t>
      </w:r>
      <w:r w:rsidRPr="00FC3FE8">
        <w:rPr>
          <w:rFonts w:ascii="Helvetica 55 Roman" w:hAnsi="Helvetica 55 Roman"/>
          <w:sz w:val="20"/>
        </w:rPr>
        <w:fldChar w:fldCharType="end"/>
      </w:r>
      <w:r w:rsidRPr="00FC3FE8">
        <w:rPr>
          <w:rFonts w:ascii="Helvetica 55 Roman" w:hAnsi="Helvetica 55 Roman"/>
          <w:sz w:val="20"/>
        </w:rPr>
        <w:t xml:space="preserve"> with respect </w:t>
      </w:r>
      <w:r w:rsidR="00FC3FE8">
        <w:rPr>
          <w:rFonts w:ascii="Helvetica 55 Roman" w:hAnsi="Helvetica 55 Roman"/>
          <w:sz w:val="20"/>
        </w:rPr>
        <w:t>to the previous Forecasts per IP</w:t>
      </w:r>
      <w:r w:rsidRPr="00FC3FE8">
        <w:rPr>
          <w:rFonts w:ascii="Helvetica 55 Roman" w:hAnsi="Helvetica 55 Roman"/>
          <w:sz w:val="20"/>
        </w:rPr>
        <w:t xml:space="preserve"> Link. If not, the requested Party will only have to accept the delivery of the Capacity within the allowed deviation limits.</w:t>
      </w:r>
    </w:p>
    <w:p w14:paraId="6DF66823" w14:textId="77777777" w:rsidR="006470A6" w:rsidRPr="00AC56F7" w:rsidRDefault="006470A6">
      <w:pPr>
        <w:pStyle w:val="Heading4"/>
        <w:jc w:val="both"/>
        <w:rPr>
          <w:rFonts w:ascii="Helvetica 55 Roman" w:hAnsi="Helvetica 55 Roman"/>
        </w:rPr>
      </w:pPr>
      <w:r w:rsidRPr="00AC56F7">
        <w:rPr>
          <w:rFonts w:ascii="Helvetica 55 Roman" w:hAnsi="Helvetica 55 Roman"/>
        </w:rPr>
        <w:t>Under-estimation of capacity needs</w:t>
      </w:r>
    </w:p>
    <w:p w14:paraId="6DF66824" w14:textId="6EA8421D" w:rsidR="006470A6" w:rsidRPr="00FC3FE8" w:rsidRDefault="006470A6">
      <w:pPr>
        <w:spacing w:before="240"/>
        <w:jc w:val="both"/>
        <w:rPr>
          <w:rFonts w:ascii="Helvetica 55 Roman" w:hAnsi="Helvetica 55 Roman"/>
          <w:sz w:val="20"/>
        </w:rPr>
      </w:pPr>
      <w:r w:rsidRPr="00FC3FE8">
        <w:rPr>
          <w:rFonts w:ascii="Helvetica 55 Roman" w:hAnsi="Helvetica 55 Roman"/>
          <w:sz w:val="20"/>
        </w:rPr>
        <w:t>In case it turns out that a Forecast for Capacity extension per I</w:t>
      </w:r>
      <w:r w:rsidR="00FC3FE8">
        <w:rPr>
          <w:rFonts w:ascii="Helvetica 55 Roman" w:hAnsi="Helvetica 55 Roman"/>
          <w:sz w:val="20"/>
        </w:rPr>
        <w:t>P</w:t>
      </w:r>
      <w:r w:rsidRPr="00FC3FE8">
        <w:rPr>
          <w:rFonts w:ascii="Helvetica 55 Roman" w:hAnsi="Helvetica 55 Roman"/>
          <w:sz w:val="20"/>
        </w:rPr>
        <w:t xml:space="preserve"> Link was underestimated, a Party may in the Firm Order increase the value contained in the previous Rolling Forecast beyond the allowed deviations. However, as indicated above, the requested Party is then not obliged to accept the Capacity extension which is beyond the allowed deviations nor to deliver it within the lead times defined in Section </w:t>
      </w:r>
      <w:r w:rsidR="00B612E2">
        <w:rPr>
          <w:rFonts w:ascii="Helvetica 55 Roman" w:hAnsi="Helvetica 55 Roman"/>
          <w:sz w:val="20"/>
        </w:rPr>
        <w:t>5</w:t>
      </w:r>
      <w:r w:rsidRPr="00FC3FE8">
        <w:rPr>
          <w:rFonts w:ascii="Helvetica 55 Roman" w:hAnsi="Helvetica 55 Roman"/>
          <w:sz w:val="20"/>
        </w:rPr>
        <w:t xml:space="preserve"> but will do all reasonable efforts to do so (best effort basis). If the requested Party accepts to deliver the Capacity extensions beyond the allowed deviations, the C-SPOC will inform the other Party about any extra cost related to the provision of that Capacity extension. </w:t>
      </w:r>
      <w:bookmarkStart w:id="28" w:name="_Ref421429480"/>
    </w:p>
    <w:p w14:paraId="6DF66825" w14:textId="77777777" w:rsidR="006470A6" w:rsidRPr="00FC3FE8" w:rsidRDefault="006470A6">
      <w:pPr>
        <w:spacing w:before="240"/>
        <w:jc w:val="both"/>
        <w:rPr>
          <w:rFonts w:ascii="Helvetica 55 Roman" w:hAnsi="Helvetica 55 Roman"/>
          <w:sz w:val="20"/>
        </w:rPr>
      </w:pPr>
      <w:r w:rsidRPr="00FC3FE8">
        <w:rPr>
          <w:rFonts w:ascii="Helvetica 55 Roman" w:hAnsi="Helvetica 55 Roman"/>
          <w:sz w:val="20"/>
        </w:rPr>
        <w:t xml:space="preserve">This must be included in a Rush order process (See </w:t>
      </w:r>
      <w:r w:rsidR="00055D86">
        <w:rPr>
          <w:rFonts w:ascii="Helvetica 55 Roman" w:hAnsi="Helvetica 55 Roman"/>
          <w:sz w:val="20"/>
        </w:rPr>
        <w:t>4</w:t>
      </w:r>
      <w:r w:rsidRPr="00FC3FE8">
        <w:rPr>
          <w:rFonts w:ascii="Helvetica 55 Roman" w:hAnsi="Helvetica 55 Roman"/>
          <w:sz w:val="20"/>
        </w:rPr>
        <w:t>.4).</w:t>
      </w:r>
    </w:p>
    <w:p w14:paraId="6DF66826" w14:textId="1089C392" w:rsidR="006470A6" w:rsidRPr="00F12678" w:rsidRDefault="006470A6">
      <w:pPr>
        <w:pStyle w:val="Heading4"/>
        <w:jc w:val="both"/>
        <w:rPr>
          <w:rFonts w:ascii="Helvetica 55 Roman" w:hAnsi="Helvetica 55 Roman"/>
        </w:rPr>
      </w:pPr>
      <w:r w:rsidRPr="00F12678">
        <w:rPr>
          <w:rFonts w:ascii="Helvetica 55 Roman" w:hAnsi="Helvetica 55 Roman"/>
        </w:rPr>
        <w:t>Overestimation of the capacity needs</w:t>
      </w:r>
      <w:r w:rsidR="00AE4180" w:rsidRPr="00F12678">
        <w:rPr>
          <w:rFonts w:ascii="Helvetica 55 Roman" w:hAnsi="Helvetica 55 Roman"/>
        </w:rPr>
        <w:t xml:space="preserve"> </w:t>
      </w:r>
      <w:proofErr w:type="spellStart"/>
      <w:r w:rsidR="00AE4180" w:rsidRPr="00F12678">
        <w:rPr>
          <w:rFonts w:ascii="Helvetica 55 Roman" w:hAnsi="Helvetica 55 Roman"/>
        </w:rPr>
        <w:t>mutalize</w:t>
      </w:r>
      <w:proofErr w:type="spellEnd"/>
    </w:p>
    <w:p w14:paraId="6DF66827" w14:textId="2484E433" w:rsidR="006470A6" w:rsidRPr="00F12678" w:rsidRDefault="006470A6">
      <w:pPr>
        <w:jc w:val="both"/>
        <w:rPr>
          <w:rFonts w:ascii="Helvetica 55 Roman" w:hAnsi="Helvetica 55 Roman"/>
          <w:sz w:val="20"/>
        </w:rPr>
      </w:pPr>
      <w:r w:rsidRPr="00F12678">
        <w:rPr>
          <w:rFonts w:ascii="Helvetica 55 Roman" w:hAnsi="Helvetica 55 Roman"/>
          <w:sz w:val="20"/>
        </w:rPr>
        <w:t xml:space="preserve">If it appears that specific investments have been made by </w:t>
      </w:r>
      <w:r w:rsidR="00FF5024" w:rsidRPr="00F12678">
        <w:rPr>
          <w:rFonts w:ascii="Helvetica 55 Roman" w:hAnsi="Helvetica 55 Roman"/>
          <w:sz w:val="20"/>
        </w:rPr>
        <w:t xml:space="preserve">either parties </w:t>
      </w:r>
      <w:r w:rsidRPr="00F12678">
        <w:rPr>
          <w:rFonts w:ascii="Helvetica 55 Roman" w:hAnsi="Helvetica 55 Roman"/>
          <w:sz w:val="20"/>
        </w:rPr>
        <w:t>in reply to the needs described by</w:t>
      </w:r>
      <w:r w:rsidR="00FF5024" w:rsidRPr="00F12678">
        <w:rPr>
          <w:rFonts w:ascii="Helvetica 55 Roman" w:hAnsi="Helvetica 55 Roman"/>
          <w:sz w:val="20"/>
        </w:rPr>
        <w:t xml:space="preserve"> the other Party</w:t>
      </w:r>
      <w:r w:rsidRPr="00F12678">
        <w:rPr>
          <w:rFonts w:ascii="Helvetica 55 Roman" w:hAnsi="Helvetica 55 Roman"/>
          <w:sz w:val="20"/>
        </w:rPr>
        <w:t xml:space="preserve">, </w:t>
      </w:r>
      <w:r w:rsidR="00FF5024" w:rsidRPr="00F12678">
        <w:rPr>
          <w:rFonts w:ascii="Helvetica 55 Roman" w:hAnsi="Helvetica 55 Roman"/>
          <w:sz w:val="20"/>
        </w:rPr>
        <w:t>both Parties w</w:t>
      </w:r>
      <w:r w:rsidRPr="00F12678">
        <w:rPr>
          <w:rFonts w:ascii="Helvetica 55 Roman" w:hAnsi="Helvetica 55 Roman"/>
          <w:sz w:val="20"/>
        </w:rPr>
        <w:t xml:space="preserve">ill be entitled to claim from </w:t>
      </w:r>
      <w:r w:rsidR="00FF5024" w:rsidRPr="00F12678">
        <w:rPr>
          <w:rFonts w:ascii="Helvetica 55 Roman" w:hAnsi="Helvetica 55 Roman"/>
          <w:sz w:val="20"/>
        </w:rPr>
        <w:t>the other Party</w:t>
      </w:r>
      <w:r w:rsidRPr="00F12678">
        <w:rPr>
          <w:rFonts w:ascii="Helvetica 55 Roman" w:hAnsi="Helvetica 55 Roman"/>
          <w:sz w:val="20"/>
        </w:rPr>
        <w:t xml:space="preserve"> the payment of the total or part of the said investments (including, in particular, any expenses incurred for installation activities). This will be the case if investments are duly justified as being reasonable and proportional taking into account forecasts and Firm Orders transmitted by </w:t>
      </w:r>
      <w:r w:rsidR="00FF5024" w:rsidRPr="00F12678">
        <w:rPr>
          <w:rFonts w:ascii="Helvetica 55 Roman" w:hAnsi="Helvetica 55 Roman"/>
          <w:sz w:val="20"/>
        </w:rPr>
        <w:t>the Parties and provided by</w:t>
      </w:r>
      <w:r w:rsidRPr="00F12678">
        <w:rPr>
          <w:rFonts w:ascii="Helvetica 55 Roman" w:hAnsi="Helvetica 55 Roman"/>
          <w:sz w:val="20"/>
        </w:rPr>
        <w:t xml:space="preserve"> </w:t>
      </w:r>
      <w:r w:rsidR="00FF5024" w:rsidRPr="00F12678">
        <w:rPr>
          <w:rFonts w:ascii="Helvetica 55 Roman" w:hAnsi="Helvetica 55 Roman"/>
          <w:sz w:val="20"/>
        </w:rPr>
        <w:t>the Party d</w:t>
      </w:r>
      <w:r w:rsidRPr="00F12678">
        <w:rPr>
          <w:rFonts w:ascii="Helvetica 55 Roman" w:hAnsi="Helvetica 55 Roman"/>
          <w:sz w:val="20"/>
        </w:rPr>
        <w:t>emonstrat</w:t>
      </w:r>
      <w:r w:rsidR="00FF5024" w:rsidRPr="00F12678">
        <w:rPr>
          <w:rFonts w:ascii="Helvetica 55 Roman" w:hAnsi="Helvetica 55 Roman"/>
          <w:sz w:val="20"/>
        </w:rPr>
        <w:t>ing</w:t>
      </w:r>
      <w:r w:rsidRPr="00F12678">
        <w:rPr>
          <w:rFonts w:ascii="Helvetica 55 Roman" w:hAnsi="Helvetica 55 Roman"/>
          <w:sz w:val="20"/>
        </w:rPr>
        <w:t xml:space="preserve"> that those investments have become redundant as a consequence of difference between, on the one hand, a Firm Order for Capacity as ultimately placed by </w:t>
      </w:r>
      <w:r w:rsidR="00FF5024" w:rsidRPr="00F12678">
        <w:rPr>
          <w:rFonts w:ascii="Helvetica 55 Roman" w:hAnsi="Helvetica 55 Roman"/>
          <w:sz w:val="20"/>
        </w:rPr>
        <w:t>the other Party</w:t>
      </w:r>
      <w:r w:rsidRPr="00F12678">
        <w:rPr>
          <w:rFonts w:ascii="Helvetica 55 Roman" w:hAnsi="Helvetica 55 Roman"/>
          <w:sz w:val="20"/>
        </w:rPr>
        <w:t>, and, on the other hand, the forecast made.</w:t>
      </w:r>
    </w:p>
    <w:p w14:paraId="6DF66828" w14:textId="77777777" w:rsidR="006470A6" w:rsidRPr="00F12678" w:rsidRDefault="006470A6" w:rsidP="00055D86">
      <w:pPr>
        <w:pStyle w:val="Heading2"/>
        <w:ind w:left="576"/>
        <w:jc w:val="both"/>
        <w:rPr>
          <w:rFonts w:ascii="Helvetica 55 Roman" w:hAnsi="Helvetica 55 Roman"/>
        </w:rPr>
      </w:pPr>
      <w:bookmarkStart w:id="29" w:name="_Ref416685543"/>
      <w:bookmarkStart w:id="30" w:name="_Toc45704637"/>
      <w:bookmarkEnd w:id="26"/>
      <w:bookmarkEnd w:id="28"/>
      <w:r w:rsidRPr="00F12678">
        <w:rPr>
          <w:rFonts w:ascii="Helvetica 55 Roman" w:hAnsi="Helvetica 55 Roman"/>
        </w:rPr>
        <w:t>Rush Orders</w:t>
      </w:r>
      <w:bookmarkEnd w:id="29"/>
      <w:bookmarkEnd w:id="30"/>
    </w:p>
    <w:p w14:paraId="6DF66829" w14:textId="77777777" w:rsidR="006470A6" w:rsidRPr="006E699D" w:rsidRDefault="006470A6">
      <w:pPr>
        <w:jc w:val="both"/>
        <w:rPr>
          <w:rFonts w:ascii="Helvetica 55 Roman" w:hAnsi="Helvetica 55 Roman"/>
          <w:sz w:val="20"/>
        </w:rPr>
      </w:pPr>
      <w:r w:rsidRPr="006E699D">
        <w:rPr>
          <w:rFonts w:ascii="Helvetica 55 Roman" w:hAnsi="Helvetica 55 Roman"/>
          <w:sz w:val="20"/>
        </w:rPr>
        <w:t>A Party, detecting that:</w:t>
      </w:r>
    </w:p>
    <w:p w14:paraId="6DF6682A" w14:textId="77777777" w:rsidR="006470A6" w:rsidRPr="006E699D" w:rsidRDefault="006470A6" w:rsidP="00E14ABC">
      <w:pPr>
        <w:pStyle w:val="Optie"/>
        <w:numPr>
          <w:ilvl w:val="0"/>
          <w:numId w:val="1"/>
        </w:numPr>
        <w:ind w:left="284" w:hanging="284"/>
        <w:jc w:val="both"/>
        <w:rPr>
          <w:rFonts w:ascii="Helvetica 55 Roman" w:hAnsi="Helvetica 55 Roman"/>
          <w:sz w:val="20"/>
        </w:rPr>
      </w:pPr>
      <w:r w:rsidRPr="006E699D">
        <w:rPr>
          <w:rFonts w:ascii="Helvetica 55 Roman" w:hAnsi="Helvetica 55 Roman"/>
          <w:sz w:val="20"/>
        </w:rPr>
        <w:t xml:space="preserve">its installed </w:t>
      </w:r>
      <w:r w:rsidR="00055D86">
        <w:rPr>
          <w:rFonts w:ascii="Helvetica 55 Roman" w:hAnsi="Helvetica 55 Roman"/>
          <w:sz w:val="20"/>
        </w:rPr>
        <w:t>IP</w:t>
      </w:r>
      <w:r w:rsidRPr="006E699D">
        <w:rPr>
          <w:rFonts w:ascii="Helvetica 55 Roman" w:hAnsi="Helvetica 55 Roman"/>
          <w:sz w:val="20"/>
        </w:rPr>
        <w:t xml:space="preserve"> Capacity cannot meet the engineering targets as described in Section 1, or;</w:t>
      </w:r>
    </w:p>
    <w:p w14:paraId="6DF6682B" w14:textId="77777777" w:rsidR="006470A6" w:rsidRPr="006E699D" w:rsidRDefault="006470A6" w:rsidP="00E14ABC">
      <w:pPr>
        <w:pStyle w:val="Optie"/>
        <w:numPr>
          <w:ilvl w:val="0"/>
          <w:numId w:val="1"/>
        </w:numPr>
        <w:ind w:left="284" w:hanging="284"/>
        <w:jc w:val="both"/>
        <w:rPr>
          <w:rFonts w:ascii="Helvetica 55 Roman" w:hAnsi="Helvetica 55 Roman"/>
          <w:sz w:val="20"/>
        </w:rPr>
      </w:pPr>
      <w:r w:rsidRPr="006E699D">
        <w:rPr>
          <w:rFonts w:ascii="Helvetica 55 Roman" w:hAnsi="Helvetica 55 Roman"/>
          <w:sz w:val="20"/>
        </w:rPr>
        <w:t xml:space="preserve">its existing </w:t>
      </w:r>
      <w:r w:rsidR="00055D86">
        <w:rPr>
          <w:rFonts w:ascii="Helvetica 55 Roman" w:hAnsi="Helvetica 55 Roman"/>
          <w:sz w:val="20"/>
        </w:rPr>
        <w:t>IP</w:t>
      </w:r>
      <w:r w:rsidRPr="006E699D">
        <w:rPr>
          <w:rFonts w:ascii="Helvetica 55 Roman" w:hAnsi="Helvetica 55 Roman"/>
          <w:sz w:val="20"/>
        </w:rPr>
        <w:t xml:space="preserve"> Capacity Order will not meet the engineering targets at the end of the quarter</w:t>
      </w:r>
    </w:p>
    <w:p w14:paraId="6DF6682C" w14:textId="77777777" w:rsidR="006470A6" w:rsidRPr="006E699D" w:rsidRDefault="006470A6">
      <w:pPr>
        <w:jc w:val="both"/>
        <w:rPr>
          <w:rFonts w:ascii="Helvetica 55 Roman" w:hAnsi="Helvetica 55 Roman"/>
          <w:sz w:val="20"/>
        </w:rPr>
      </w:pPr>
      <w:r w:rsidRPr="006E699D">
        <w:rPr>
          <w:rFonts w:ascii="Helvetica 55 Roman" w:hAnsi="Helvetica 55 Roman"/>
          <w:sz w:val="20"/>
        </w:rPr>
        <w:t xml:space="preserve">can call for a Rush Order in TIC meeting. Rush orders aimed at replacing a transmission option by another one will be refused by </w:t>
      </w:r>
      <w:r w:rsidR="006850D4" w:rsidRPr="006E699D">
        <w:rPr>
          <w:rFonts w:ascii="Helvetica 55 Roman" w:hAnsi="Helvetica 55 Roman"/>
          <w:sz w:val="20"/>
        </w:rPr>
        <w:t>Orange Belgium</w:t>
      </w:r>
      <w:r w:rsidRPr="006E699D">
        <w:rPr>
          <w:rFonts w:ascii="Helvetica 55 Roman" w:hAnsi="Helvetica 55 Roman"/>
          <w:sz w:val="20"/>
        </w:rPr>
        <w:t>. The requested content of the Rush order will be made available to the requested party at least 5 days before the TIC meeting. This will allow the requested party to check the feasibility of the request.</w:t>
      </w:r>
    </w:p>
    <w:p w14:paraId="6DF6682D" w14:textId="77777777" w:rsidR="006470A6" w:rsidRPr="009D0C97" w:rsidRDefault="006470A6">
      <w:pPr>
        <w:jc w:val="both"/>
        <w:rPr>
          <w:rFonts w:ascii="Helvetica 55 Roman" w:hAnsi="Helvetica 55 Roman"/>
          <w:sz w:val="20"/>
        </w:rPr>
      </w:pPr>
      <w:r w:rsidRPr="009D0C97">
        <w:rPr>
          <w:rFonts w:ascii="Helvetica 55 Roman" w:hAnsi="Helvetica 55 Roman"/>
          <w:sz w:val="20"/>
        </w:rPr>
        <w:t xml:space="preserve">A Rush Order has no link with the Forecasting and Ordering process described in Section </w:t>
      </w:r>
      <w:r w:rsidRPr="009D0C97">
        <w:rPr>
          <w:rFonts w:ascii="Helvetica 55 Roman" w:hAnsi="Helvetica 55 Roman"/>
          <w:sz w:val="20"/>
        </w:rPr>
        <w:fldChar w:fldCharType="begin"/>
      </w:r>
      <w:r w:rsidRPr="009D0C97">
        <w:rPr>
          <w:rFonts w:ascii="Helvetica 55 Roman" w:hAnsi="Helvetica 55 Roman"/>
          <w:sz w:val="20"/>
        </w:rPr>
        <w:instrText xml:space="preserve"> REF _Ref442087999 \r \h  \* MERGEFORMAT </w:instrText>
      </w:r>
      <w:r w:rsidRPr="009D0C97">
        <w:rPr>
          <w:rFonts w:ascii="Helvetica 55 Roman" w:hAnsi="Helvetica 55 Roman"/>
          <w:sz w:val="20"/>
        </w:rPr>
      </w:r>
      <w:r w:rsidRPr="009D0C97">
        <w:rPr>
          <w:rFonts w:ascii="Helvetica 55 Roman" w:hAnsi="Helvetica 55 Roman"/>
          <w:sz w:val="20"/>
        </w:rPr>
        <w:fldChar w:fldCharType="separate"/>
      </w:r>
      <w:r w:rsidR="0031500F">
        <w:rPr>
          <w:rFonts w:ascii="Helvetica 55 Roman" w:hAnsi="Helvetica 55 Roman"/>
          <w:sz w:val="20"/>
        </w:rPr>
        <w:t>0</w:t>
      </w:r>
      <w:r w:rsidRPr="009D0C97">
        <w:rPr>
          <w:rFonts w:ascii="Helvetica 55 Roman" w:hAnsi="Helvetica 55 Roman"/>
          <w:sz w:val="20"/>
        </w:rPr>
        <w:fldChar w:fldCharType="end"/>
      </w:r>
      <w:r w:rsidRPr="009D0C97">
        <w:rPr>
          <w:rFonts w:ascii="Helvetica 55 Roman" w:hAnsi="Helvetica 55 Roman"/>
          <w:sz w:val="20"/>
        </w:rPr>
        <w:t xml:space="preserve"> and has to be considered as an exceptional order which can be submitted at any time. Therefore the requested Party cannot guarantee that it will always be able to implement a Rush Order within the requested lead-time.</w:t>
      </w:r>
      <w:r w:rsidRPr="009D0C97">
        <w:rPr>
          <w:rFonts w:ascii="Helvetica 55 Roman" w:hAnsi="Helvetica 55 Roman"/>
          <w:i/>
          <w:sz w:val="20"/>
        </w:rPr>
        <w:t xml:space="preserve"> </w:t>
      </w:r>
      <w:r w:rsidRPr="009D0C97">
        <w:rPr>
          <w:rFonts w:ascii="Helvetica 55 Roman" w:hAnsi="Helvetica 55 Roman"/>
          <w:sz w:val="20"/>
        </w:rPr>
        <w:t>The Party submitting a Rush Order in quarter Q</w:t>
      </w:r>
      <w:r w:rsidRPr="009D0C97">
        <w:rPr>
          <w:rFonts w:ascii="Helvetica 55 Roman" w:hAnsi="Helvetica 55 Roman"/>
          <w:sz w:val="20"/>
          <w:vertAlign w:val="subscript"/>
        </w:rPr>
        <w:t>i</w:t>
      </w:r>
      <w:r w:rsidRPr="009D0C97">
        <w:rPr>
          <w:rFonts w:ascii="Helvetica 55 Roman" w:hAnsi="Helvetica 55 Roman"/>
          <w:sz w:val="20"/>
        </w:rPr>
        <w:t xml:space="preserve"> will at the same time also submit a new 1 year Rolling Forecast replacing the Rolling Forecast submitted in quarter Q</w:t>
      </w:r>
      <w:r w:rsidRPr="009D0C97">
        <w:rPr>
          <w:rFonts w:ascii="Helvetica 55 Roman" w:hAnsi="Helvetica 55 Roman"/>
          <w:sz w:val="20"/>
          <w:vertAlign w:val="subscript"/>
        </w:rPr>
        <w:t>i</w:t>
      </w:r>
      <w:r w:rsidRPr="009D0C97">
        <w:rPr>
          <w:rFonts w:ascii="Helvetica 55 Roman" w:hAnsi="Helvetica 55 Roman"/>
          <w:sz w:val="20"/>
        </w:rPr>
        <w:t>. The deviations for this new Rolling Forecast have to be calculated on the basis of the Capacity extensions indicated in the Rolling Forecast submitted in quarter Q</w:t>
      </w:r>
      <w:r w:rsidRPr="009D0C97">
        <w:rPr>
          <w:rFonts w:ascii="Helvetica 55 Roman" w:hAnsi="Helvetica 55 Roman"/>
          <w:sz w:val="20"/>
          <w:vertAlign w:val="subscript"/>
        </w:rPr>
        <w:t>i-1</w:t>
      </w:r>
      <w:r w:rsidRPr="009D0C97">
        <w:rPr>
          <w:rFonts w:ascii="Helvetica 55 Roman" w:hAnsi="Helvetica 55 Roman"/>
          <w:sz w:val="20"/>
        </w:rPr>
        <w:t>, and can only be increased by the capacity extensions contained in the Rush Order.</w:t>
      </w:r>
    </w:p>
    <w:p w14:paraId="6DF6682E" w14:textId="77777777" w:rsidR="004E3184" w:rsidRPr="00AC56F7" w:rsidRDefault="004E3184">
      <w:pPr>
        <w:jc w:val="both"/>
        <w:rPr>
          <w:rFonts w:ascii="Helvetica 55 Roman" w:hAnsi="Helvetica 55 Roman"/>
        </w:rPr>
      </w:pPr>
    </w:p>
    <w:p w14:paraId="6DF6682F" w14:textId="77777777" w:rsidR="006470A6" w:rsidRPr="009D0C97" w:rsidRDefault="006470A6">
      <w:pPr>
        <w:jc w:val="both"/>
        <w:rPr>
          <w:rFonts w:ascii="Helvetica 55 Roman" w:hAnsi="Helvetica 55 Roman"/>
          <w:sz w:val="20"/>
        </w:rPr>
      </w:pPr>
      <w:r w:rsidRPr="009D0C97">
        <w:rPr>
          <w:rFonts w:ascii="Helvetica 55 Roman" w:hAnsi="Helvetica 55 Roman"/>
          <w:sz w:val="20"/>
        </w:rPr>
        <w:t>During the Rush Order TIC meeting, both parties will agree on:</w:t>
      </w:r>
    </w:p>
    <w:p w14:paraId="6DF66830" w14:textId="77777777" w:rsidR="006470A6" w:rsidRPr="009D0C97" w:rsidRDefault="006470A6" w:rsidP="00E14ABC">
      <w:pPr>
        <w:pStyle w:val="Optie"/>
        <w:numPr>
          <w:ilvl w:val="0"/>
          <w:numId w:val="1"/>
        </w:numPr>
        <w:ind w:left="284" w:hanging="284"/>
        <w:jc w:val="both"/>
        <w:rPr>
          <w:rFonts w:ascii="Helvetica 55 Roman" w:hAnsi="Helvetica 55 Roman"/>
          <w:sz w:val="20"/>
        </w:rPr>
      </w:pPr>
      <w:r w:rsidRPr="009D0C97">
        <w:rPr>
          <w:rFonts w:ascii="Helvetica 55 Roman" w:hAnsi="Helvetica 55 Roman"/>
          <w:sz w:val="20"/>
        </w:rPr>
        <w:t xml:space="preserve">The </w:t>
      </w:r>
      <w:r w:rsidR="00055D86">
        <w:rPr>
          <w:rFonts w:ascii="Helvetica 55 Roman" w:hAnsi="Helvetica 55 Roman"/>
          <w:sz w:val="20"/>
        </w:rPr>
        <w:t>IP</w:t>
      </w:r>
      <w:r w:rsidRPr="009D0C97">
        <w:rPr>
          <w:rFonts w:ascii="Helvetica 55 Roman" w:hAnsi="Helvetica 55 Roman"/>
          <w:sz w:val="20"/>
        </w:rPr>
        <w:t xml:space="preserve"> Capacity that can be supplied</w:t>
      </w:r>
      <w:r w:rsidRPr="009D0C97">
        <w:rPr>
          <w:rStyle w:val="FootnoteReference"/>
          <w:rFonts w:ascii="Helvetica 55 Roman" w:hAnsi="Helvetica 55 Roman"/>
          <w:sz w:val="20"/>
        </w:rPr>
        <w:footnoteReference w:id="1"/>
      </w:r>
      <w:r w:rsidRPr="009D0C97">
        <w:rPr>
          <w:rFonts w:ascii="Helvetica 55 Roman" w:hAnsi="Helvetica 55 Roman"/>
          <w:sz w:val="20"/>
        </w:rPr>
        <w:t>;</w:t>
      </w:r>
    </w:p>
    <w:p w14:paraId="6DF66831" w14:textId="77777777" w:rsidR="006470A6" w:rsidRPr="009D0C97" w:rsidRDefault="006470A6" w:rsidP="00E14ABC">
      <w:pPr>
        <w:pStyle w:val="Optie"/>
        <w:numPr>
          <w:ilvl w:val="0"/>
          <w:numId w:val="1"/>
        </w:numPr>
        <w:ind w:left="284" w:hanging="284"/>
        <w:jc w:val="both"/>
        <w:rPr>
          <w:rFonts w:ascii="Helvetica 55 Roman" w:hAnsi="Helvetica 55 Roman"/>
          <w:sz w:val="20"/>
        </w:rPr>
      </w:pPr>
      <w:r w:rsidRPr="009D0C97">
        <w:rPr>
          <w:rFonts w:ascii="Helvetica 55 Roman" w:hAnsi="Helvetica 55 Roman"/>
          <w:sz w:val="20"/>
        </w:rPr>
        <w:t>the proposed implementation date;</w:t>
      </w:r>
    </w:p>
    <w:p w14:paraId="6DF66832" w14:textId="77777777" w:rsidR="006470A6" w:rsidRPr="009D0C97" w:rsidRDefault="006470A6">
      <w:pPr>
        <w:pStyle w:val="Optie"/>
        <w:ind w:left="0" w:firstLine="0"/>
        <w:jc w:val="both"/>
        <w:rPr>
          <w:rFonts w:ascii="Helvetica 55 Roman" w:hAnsi="Helvetica 55 Roman"/>
          <w:sz w:val="20"/>
        </w:rPr>
      </w:pPr>
      <w:r w:rsidRPr="009D0C97">
        <w:rPr>
          <w:rFonts w:ascii="Helvetica 55 Roman" w:hAnsi="Helvetica 55 Roman"/>
          <w:sz w:val="20"/>
        </w:rPr>
        <w:t xml:space="preserve">As for regular orders, an Ordering Form will have to be signed by both Parties to implement this Rush Order. The requested party C-SPOC will inform the other party about the additional charges (as defined in the CPL) relating to this rush order. The additional Capacity is supplied at the expense of the Party </w:t>
      </w:r>
      <w:r w:rsidRPr="009D0C97">
        <w:rPr>
          <w:rFonts w:ascii="Helvetica 55 Roman" w:hAnsi="Helvetica 55 Roman"/>
          <w:sz w:val="20"/>
        </w:rPr>
        <w:lastRenderedPageBreak/>
        <w:t>of which the traffic will be conveyed over the said additional Capacity. This will be communicated at C-SPOC level, within the Interconnection Co-ordination group.</w:t>
      </w:r>
    </w:p>
    <w:p w14:paraId="6DF66833" w14:textId="77777777" w:rsidR="006470A6" w:rsidRPr="009D0C97" w:rsidRDefault="006470A6">
      <w:pPr>
        <w:jc w:val="both"/>
        <w:rPr>
          <w:rFonts w:ascii="Helvetica 55 Roman" w:hAnsi="Helvetica 55 Roman"/>
          <w:sz w:val="20"/>
        </w:rPr>
      </w:pPr>
      <w:r w:rsidRPr="009D0C97">
        <w:rPr>
          <w:rFonts w:ascii="Helvetica 55 Roman" w:hAnsi="Helvetica 55 Roman"/>
          <w:sz w:val="20"/>
        </w:rPr>
        <w:t>Each Party can place one (1) successful</w:t>
      </w:r>
      <w:r w:rsidRPr="009D0C97">
        <w:rPr>
          <w:rStyle w:val="FootnoteReference"/>
          <w:rFonts w:ascii="Helvetica 55 Roman" w:hAnsi="Helvetica 55 Roman"/>
          <w:sz w:val="20"/>
        </w:rPr>
        <w:footnoteReference w:id="2"/>
      </w:r>
      <w:r w:rsidRPr="009D0C97">
        <w:rPr>
          <w:rFonts w:ascii="Helvetica 55 Roman" w:hAnsi="Helvetica 55 Roman"/>
          <w:sz w:val="20"/>
        </w:rPr>
        <w:t xml:space="preserve"> Rush Order per year to the other Party. Each Rush Order will be charged with a flat fee, covering the costs incurred for establishing an offer with respect to the Rush Order. </w:t>
      </w:r>
    </w:p>
    <w:p w14:paraId="6DF66834" w14:textId="77777777" w:rsidR="006470A6" w:rsidRPr="009D0C97" w:rsidRDefault="006470A6">
      <w:pPr>
        <w:jc w:val="both"/>
        <w:rPr>
          <w:rFonts w:ascii="Helvetica 55 Roman" w:hAnsi="Helvetica 55 Roman"/>
          <w:sz w:val="20"/>
        </w:rPr>
      </w:pPr>
      <w:r w:rsidRPr="009D0C97">
        <w:rPr>
          <w:rFonts w:ascii="Helvetica 55 Roman" w:hAnsi="Helvetica 55 Roman"/>
          <w:sz w:val="20"/>
        </w:rPr>
        <w:t>If both Parties fail to agree on the Rush Order as set out in this Section, the issue will be put on the agenda of the Interconnection Co-ordination group.</w:t>
      </w:r>
    </w:p>
    <w:p w14:paraId="3F4D2A30" w14:textId="77777777" w:rsidR="00833665" w:rsidRPr="00ED64E2" w:rsidRDefault="00833665" w:rsidP="00833665">
      <w:pPr>
        <w:pStyle w:val="Heading1"/>
        <w:jc w:val="both"/>
        <w:rPr>
          <w:rFonts w:ascii="Helvetica 55 Roman" w:hAnsi="Helvetica 55 Roman"/>
        </w:rPr>
      </w:pPr>
      <w:bookmarkStart w:id="31" w:name="_Ref5077618"/>
      <w:bookmarkStart w:id="32" w:name="_Ref5093803"/>
      <w:bookmarkStart w:id="33" w:name="_Ref5096992"/>
      <w:bookmarkStart w:id="34" w:name="_Toc348431699"/>
      <w:bookmarkStart w:id="35" w:name="_Toc45704638"/>
      <w:r w:rsidRPr="00ED64E2">
        <w:rPr>
          <w:rFonts w:ascii="Helvetica 55 Roman" w:hAnsi="Helvetica 55 Roman"/>
        </w:rPr>
        <w:t>Lead times for provisioning</w:t>
      </w:r>
      <w:bookmarkEnd w:id="31"/>
      <w:bookmarkEnd w:id="32"/>
      <w:bookmarkEnd w:id="33"/>
      <w:bookmarkEnd w:id="34"/>
      <w:bookmarkEnd w:id="35"/>
    </w:p>
    <w:p w14:paraId="0E584D5B" w14:textId="034417D8" w:rsidR="00833665" w:rsidRPr="00ED64E2" w:rsidRDefault="00833665" w:rsidP="00833665">
      <w:pPr>
        <w:jc w:val="both"/>
        <w:rPr>
          <w:rFonts w:ascii="Helvetica 55 Roman" w:hAnsi="Helvetica 55 Roman"/>
          <w:sz w:val="20"/>
        </w:rPr>
      </w:pPr>
      <w:r w:rsidRPr="00ED64E2">
        <w:rPr>
          <w:rFonts w:ascii="Helvetica 55 Roman" w:hAnsi="Helvetica 55 Roman"/>
          <w:sz w:val="20"/>
        </w:rPr>
        <w:t xml:space="preserve">As far as Orange Belgium is concerned, the reception per Registered Mail of a valid Quarterly order, is the starting point of the whole capacity extension process. Provided that the formal procedure and intermediate timings are respected, both parties shall make the relevant Capacity available at the agreed RFS Date. </w:t>
      </w:r>
    </w:p>
    <w:p w14:paraId="23178657" w14:textId="3E92D3ED" w:rsidR="00833665" w:rsidRPr="00ED64E2" w:rsidRDefault="00833665" w:rsidP="00833665">
      <w:pPr>
        <w:jc w:val="both"/>
        <w:rPr>
          <w:rFonts w:ascii="Helvetica 55 Roman" w:hAnsi="Helvetica 55 Roman"/>
          <w:sz w:val="20"/>
        </w:rPr>
      </w:pPr>
      <w:r w:rsidRPr="00ED64E2">
        <w:rPr>
          <w:rFonts w:ascii="Helvetica 55 Roman" w:hAnsi="Helvetica 55 Roman"/>
          <w:sz w:val="20"/>
        </w:rPr>
        <w:t xml:space="preserve">In case </w:t>
      </w:r>
      <w:r w:rsidR="00F861E0">
        <w:rPr>
          <w:rFonts w:ascii="Helvetica 55 Roman" w:hAnsi="Helvetica 55 Roman"/>
          <w:sz w:val="20"/>
        </w:rPr>
        <w:t>Operator</w:t>
      </w:r>
      <w:r w:rsidRPr="00ED64E2">
        <w:rPr>
          <w:rFonts w:ascii="Helvetica 55 Roman" w:hAnsi="Helvetica 55 Roman"/>
          <w:sz w:val="20"/>
        </w:rPr>
        <w:t xml:space="preserve"> is not fully respecting the ordering procedure, information flow &amp; timing, Orange Belgium cannot be held as responsible in case of delay.</w:t>
      </w:r>
    </w:p>
    <w:p w14:paraId="58898DC6" w14:textId="3021CFCC" w:rsidR="00833665" w:rsidRPr="00ED64E2" w:rsidRDefault="00833665" w:rsidP="00833665">
      <w:pPr>
        <w:jc w:val="both"/>
        <w:rPr>
          <w:rFonts w:ascii="Helvetica 55 Roman" w:hAnsi="Helvetica 55 Roman"/>
          <w:sz w:val="20"/>
        </w:rPr>
      </w:pPr>
      <w:r w:rsidRPr="00ED64E2">
        <w:rPr>
          <w:rFonts w:ascii="Helvetica 55 Roman" w:hAnsi="Helvetica 55 Roman"/>
          <w:sz w:val="20"/>
        </w:rPr>
        <w:t xml:space="preserve">Lead times for Rush Orders are to be agreed on a best effort basis case-by-case in accordance with the rules set out in Section </w:t>
      </w:r>
      <w:r w:rsidR="00DC566B" w:rsidRPr="00ED64E2">
        <w:rPr>
          <w:rFonts w:ascii="Helvetica 55 Roman" w:hAnsi="Helvetica 55 Roman"/>
          <w:sz w:val="20"/>
        </w:rPr>
        <w:t>4.4</w:t>
      </w:r>
      <w:r w:rsidRPr="00ED64E2">
        <w:rPr>
          <w:rFonts w:ascii="Helvetica 55 Roman" w:hAnsi="Helvetica 55 Roman"/>
          <w:sz w:val="20"/>
        </w:rPr>
        <w:t>.</w:t>
      </w:r>
    </w:p>
    <w:p w14:paraId="6DF66835" w14:textId="77777777" w:rsidR="006470A6" w:rsidRPr="00AC56F7" w:rsidRDefault="006470A6">
      <w:pPr>
        <w:jc w:val="both"/>
        <w:rPr>
          <w:rFonts w:ascii="Helvetica 55 Roman" w:hAnsi="Helvetica 55 Roman"/>
        </w:rPr>
      </w:pPr>
    </w:p>
    <w:p w14:paraId="6DF66836" w14:textId="77777777" w:rsidR="006470A6" w:rsidRPr="00AC56F7" w:rsidRDefault="006470A6">
      <w:pPr>
        <w:pStyle w:val="Heading1"/>
        <w:jc w:val="both"/>
        <w:rPr>
          <w:rFonts w:ascii="Helvetica 55 Roman" w:hAnsi="Helvetica 55 Roman"/>
        </w:rPr>
      </w:pPr>
      <w:bookmarkStart w:id="36" w:name="_Toc45704639"/>
      <w:bookmarkStart w:id="37" w:name="_Ref412810965"/>
      <w:bookmarkStart w:id="38" w:name="_Ref416481400"/>
      <w:bookmarkStart w:id="39" w:name="_Ref416483020"/>
      <w:r w:rsidRPr="00AC56F7">
        <w:rPr>
          <w:rFonts w:ascii="Helvetica 55 Roman" w:hAnsi="Helvetica 55 Roman"/>
        </w:rPr>
        <w:t>Modification of an existing Interconnection</w:t>
      </w:r>
      <w:bookmarkEnd w:id="36"/>
    </w:p>
    <w:p w14:paraId="6DF66837" w14:textId="77777777" w:rsidR="006470A6" w:rsidRPr="00AC56F7" w:rsidRDefault="006470A6" w:rsidP="00055D86">
      <w:pPr>
        <w:pStyle w:val="Heading2"/>
        <w:ind w:left="576"/>
        <w:jc w:val="both"/>
        <w:rPr>
          <w:rFonts w:ascii="Helvetica 55 Roman" w:hAnsi="Helvetica 55 Roman"/>
        </w:rPr>
      </w:pPr>
      <w:bookmarkStart w:id="40" w:name="_Ref483908387"/>
      <w:bookmarkStart w:id="41" w:name="_Toc45704640"/>
      <w:r w:rsidRPr="00AC56F7">
        <w:rPr>
          <w:rFonts w:ascii="Helvetica 55 Roman" w:hAnsi="Helvetica 55 Roman"/>
        </w:rPr>
        <w:t>Removal of Capacity</w:t>
      </w:r>
      <w:bookmarkEnd w:id="40"/>
      <w:bookmarkEnd w:id="41"/>
    </w:p>
    <w:p w14:paraId="6DF66838" w14:textId="77777777" w:rsidR="006470A6" w:rsidRPr="009D0C97" w:rsidRDefault="006470A6">
      <w:pPr>
        <w:jc w:val="both"/>
        <w:rPr>
          <w:rFonts w:ascii="Helvetica 55 Roman" w:hAnsi="Helvetica 55 Roman"/>
          <w:sz w:val="20"/>
        </w:rPr>
      </w:pPr>
      <w:r w:rsidRPr="009D0C97">
        <w:rPr>
          <w:rFonts w:ascii="Helvetica 55 Roman" w:hAnsi="Helvetica 55 Roman"/>
          <w:sz w:val="20"/>
        </w:rPr>
        <w:t>Any reduction of capacity at an AP has to be handled as a normal quarterly order.</w:t>
      </w:r>
    </w:p>
    <w:p w14:paraId="6DF66839" w14:textId="77777777" w:rsidR="006470A6" w:rsidRPr="00AC56F7" w:rsidRDefault="006470A6" w:rsidP="00055D86">
      <w:pPr>
        <w:pStyle w:val="Heading2"/>
        <w:ind w:left="576"/>
        <w:jc w:val="both"/>
        <w:rPr>
          <w:rFonts w:ascii="Helvetica 55 Roman" w:hAnsi="Helvetica 55 Roman"/>
        </w:rPr>
      </w:pPr>
      <w:bookmarkStart w:id="42" w:name="_Ref431706674"/>
      <w:bookmarkStart w:id="43" w:name="_Ref441047684"/>
      <w:bookmarkStart w:id="44" w:name="_Toc45704641"/>
      <w:r w:rsidRPr="00AC56F7">
        <w:rPr>
          <w:rFonts w:ascii="Helvetica 55 Roman" w:hAnsi="Helvetica 55 Roman"/>
        </w:rPr>
        <w:t>Re-arrangement</w:t>
      </w:r>
      <w:bookmarkEnd w:id="42"/>
      <w:r w:rsidRPr="00AC56F7">
        <w:rPr>
          <w:rFonts w:ascii="Helvetica 55 Roman" w:hAnsi="Helvetica 55 Roman"/>
        </w:rPr>
        <w:t xml:space="preserve"> of the Interconnection</w:t>
      </w:r>
      <w:bookmarkEnd w:id="43"/>
      <w:r w:rsidRPr="00AC56F7">
        <w:rPr>
          <w:rFonts w:ascii="Helvetica 55 Roman" w:hAnsi="Helvetica 55 Roman"/>
        </w:rPr>
        <w:t xml:space="preserve"> and Migrations</w:t>
      </w:r>
      <w:bookmarkEnd w:id="44"/>
    </w:p>
    <w:p w14:paraId="6DF6683A" w14:textId="77777777" w:rsidR="006470A6" w:rsidRPr="009D0C97" w:rsidRDefault="006470A6">
      <w:pPr>
        <w:jc w:val="both"/>
        <w:rPr>
          <w:rFonts w:ascii="Helvetica 55 Roman" w:hAnsi="Helvetica 55 Roman"/>
          <w:sz w:val="20"/>
        </w:rPr>
      </w:pPr>
      <w:r w:rsidRPr="009D0C97">
        <w:rPr>
          <w:rFonts w:ascii="Helvetica 55 Roman" w:hAnsi="Helvetica 55 Roman"/>
          <w:sz w:val="20"/>
        </w:rPr>
        <w:t>If a Party proposes a re-arrangement of the Interconnection, not affecting the installed Capacity, it can submit this proposal directly to the TIC Meetings. If accepted, all details of the re-arrangement will be stated in the meeting minutes, including the agreed implementation date. If not accepted, the reasons for not providing the re-arrangement will also be stated in the meeting minutes.</w:t>
      </w:r>
    </w:p>
    <w:p w14:paraId="6DF6683B" w14:textId="77777777" w:rsidR="006470A6" w:rsidRPr="009D0C97" w:rsidRDefault="006470A6">
      <w:pPr>
        <w:jc w:val="both"/>
        <w:rPr>
          <w:rFonts w:ascii="Helvetica 55 Roman" w:hAnsi="Helvetica 55 Roman"/>
          <w:sz w:val="20"/>
        </w:rPr>
      </w:pPr>
      <w:r w:rsidRPr="009D0C97">
        <w:rPr>
          <w:rFonts w:ascii="Helvetica 55 Roman" w:hAnsi="Helvetica 55 Roman"/>
          <w:sz w:val="20"/>
        </w:rPr>
        <w:t>In case a proposed re-arrangement has a commercial or financial impact, the proposal has to be sent to the other Party’s SPOC. An offer will be sent to the requesting Party. In case that Party does not agree with that offer, it may ask to put this issue on the agenda of a meeting of the Co-ordination Group.</w:t>
      </w:r>
    </w:p>
    <w:p w14:paraId="6DF6683C" w14:textId="77777777" w:rsidR="006470A6" w:rsidRPr="009D0C97" w:rsidRDefault="006470A6">
      <w:pPr>
        <w:jc w:val="both"/>
        <w:rPr>
          <w:rFonts w:ascii="Helvetica 55 Roman" w:hAnsi="Helvetica 55 Roman"/>
          <w:sz w:val="20"/>
        </w:rPr>
      </w:pPr>
      <w:r w:rsidRPr="009D0C97">
        <w:rPr>
          <w:rFonts w:ascii="Helvetica 55 Roman" w:hAnsi="Helvetica 55 Roman"/>
          <w:sz w:val="20"/>
        </w:rPr>
        <w:t>Requests for Migrations will be dealt with in a similar way.</w:t>
      </w:r>
    </w:p>
    <w:p w14:paraId="6DF6683D" w14:textId="77777777" w:rsidR="006470A6" w:rsidRPr="00AC56F7" w:rsidRDefault="006470A6" w:rsidP="00391815">
      <w:pPr>
        <w:jc w:val="both"/>
        <w:rPr>
          <w:rFonts w:ascii="Helvetica 55 Roman" w:hAnsi="Helvetica 55 Roman"/>
          <w:color w:val="FF0000"/>
        </w:rPr>
      </w:pPr>
      <w:bookmarkStart w:id="45" w:name="_Ref512922845"/>
      <w:bookmarkStart w:id="46" w:name="_Ref512922853"/>
      <w:bookmarkStart w:id="47" w:name="_Ref512925108"/>
      <w:bookmarkStart w:id="48" w:name="_Ref512937358"/>
      <w:bookmarkEnd w:id="37"/>
      <w:bookmarkEnd w:id="38"/>
      <w:bookmarkEnd w:id="39"/>
      <w:r w:rsidRPr="009D0C97">
        <w:rPr>
          <w:rFonts w:ascii="Helvetica 55 Roman" w:hAnsi="Helvetica 55 Roman"/>
          <w:sz w:val="20"/>
        </w:rPr>
        <w:t>Re-arrangement of interconnection and Migrations must follow the quarterly order process.</w:t>
      </w:r>
      <w:bookmarkEnd w:id="45"/>
      <w:bookmarkEnd w:id="46"/>
      <w:bookmarkEnd w:id="47"/>
      <w:bookmarkEnd w:id="48"/>
    </w:p>
    <w:p w14:paraId="6DF6683E" w14:textId="77777777" w:rsidR="006470A6" w:rsidRPr="00AC56F7" w:rsidRDefault="006470A6">
      <w:pPr>
        <w:pStyle w:val="Heading1"/>
        <w:jc w:val="both"/>
        <w:rPr>
          <w:rFonts w:ascii="Helvetica 55 Roman" w:hAnsi="Helvetica 55 Roman"/>
        </w:rPr>
      </w:pPr>
      <w:bookmarkStart w:id="49" w:name="_Toc45704642"/>
      <w:r w:rsidRPr="00AC56F7">
        <w:rPr>
          <w:rFonts w:ascii="Helvetica 55 Roman" w:hAnsi="Helvetica 55 Roman"/>
        </w:rPr>
        <w:t>Routing Principles</w:t>
      </w:r>
      <w:bookmarkEnd w:id="49"/>
    </w:p>
    <w:p w14:paraId="6DF6683F" w14:textId="77777777" w:rsidR="006470A6" w:rsidRPr="009D0C97" w:rsidRDefault="006470A6">
      <w:pPr>
        <w:jc w:val="both"/>
        <w:rPr>
          <w:rFonts w:ascii="Helvetica 55 Roman" w:hAnsi="Helvetica 55 Roman"/>
          <w:sz w:val="20"/>
        </w:rPr>
      </w:pPr>
      <w:r w:rsidRPr="009D0C97">
        <w:rPr>
          <w:rFonts w:ascii="Helvetica 55 Roman" w:hAnsi="Helvetica 55 Roman"/>
          <w:sz w:val="20"/>
        </w:rPr>
        <w:t>Before the Bringing into Service of the Interconnection, each Party must provide the other Party with a Routing Table (AP level) describing the routing of the traffic outgoing from its Network and handed over to the other Party’s Network for each Service Plan as agreed between both Parties. The Routing Tables are defined and updated through the TIC Meetings. A Party may not change the routing of its primary outgoing traffic (as defined below) to the other Party’s Network, without the agreement of the other Party in the TIC Meeting except in case of overflow, disputes or loss of quality of service on the direct interconnection between the Parties. In case no agreement can be reached, the issue will be subject to a decision by the Interconnection Co-ordination Group.</w:t>
      </w:r>
    </w:p>
    <w:p w14:paraId="6DF66840" w14:textId="77777777" w:rsidR="00336940" w:rsidRPr="00AC56F7" w:rsidRDefault="006470A6" w:rsidP="00391815">
      <w:pPr>
        <w:pStyle w:val="Optie"/>
        <w:ind w:left="0" w:firstLine="0"/>
        <w:jc w:val="both"/>
        <w:rPr>
          <w:rFonts w:ascii="Helvetica 55 Roman" w:hAnsi="Helvetica 55 Roman"/>
        </w:rPr>
      </w:pPr>
      <w:r w:rsidRPr="009D0C97">
        <w:rPr>
          <w:rFonts w:ascii="Helvetica 55 Roman" w:hAnsi="Helvetica 55 Roman"/>
          <w:sz w:val="20"/>
        </w:rPr>
        <w:t xml:space="preserve">Traffic routed according to the Routing Tables is primary traffic. </w:t>
      </w:r>
      <w:proofErr w:type="gramStart"/>
      <w:r w:rsidRPr="009D0C97">
        <w:rPr>
          <w:rFonts w:ascii="Helvetica 55 Roman" w:hAnsi="Helvetica 55 Roman"/>
          <w:sz w:val="20"/>
        </w:rPr>
        <w:t>Traffic</w:t>
      </w:r>
      <w:proofErr w:type="gramEnd"/>
      <w:r w:rsidRPr="009D0C97">
        <w:rPr>
          <w:rFonts w:ascii="Helvetica 55 Roman" w:hAnsi="Helvetica 55 Roman"/>
          <w:sz w:val="20"/>
        </w:rPr>
        <w:t xml:space="preserve"> which is given another routing, is identified as overflow traffic and can be (partially) blocked by the receiving Party or be treated with a lower priority.</w:t>
      </w:r>
    </w:p>
    <w:p w14:paraId="6DF66841" w14:textId="7B04DA80" w:rsidR="006470A6" w:rsidRPr="009D0C97" w:rsidRDefault="006470A6">
      <w:pPr>
        <w:jc w:val="both"/>
        <w:rPr>
          <w:rFonts w:ascii="Helvetica 55 Roman" w:hAnsi="Helvetica 55 Roman"/>
          <w:sz w:val="20"/>
        </w:rPr>
      </w:pPr>
      <w:r w:rsidRPr="009D0C97">
        <w:rPr>
          <w:rFonts w:ascii="Helvetica 55 Roman" w:hAnsi="Helvetica 55 Roman"/>
          <w:sz w:val="20"/>
        </w:rPr>
        <w:lastRenderedPageBreak/>
        <w:t xml:space="preserve">However, calls originated in one of the Parties’ Networks and destined to the other Party’s Network, which have overflowed (because of </w:t>
      </w:r>
      <w:r w:rsidR="00460C86" w:rsidRPr="009D0C97">
        <w:rPr>
          <w:rFonts w:ascii="Helvetica 55 Roman" w:hAnsi="Helvetica 55 Roman"/>
          <w:sz w:val="20"/>
        </w:rPr>
        <w:t>isolation</w:t>
      </w:r>
      <w:r w:rsidRPr="009D0C97">
        <w:rPr>
          <w:rFonts w:ascii="Helvetica 55 Roman" w:hAnsi="Helvetica 55 Roman"/>
          <w:sz w:val="20"/>
        </w:rPr>
        <w:t xml:space="preserve"> or a failure either in one of the Parties’ AGE's, either in an IC Link), shall be given by the receiving Party the same priority as primary traffic.</w:t>
      </w:r>
    </w:p>
    <w:p w14:paraId="6DF66842" w14:textId="77777777" w:rsidR="006470A6" w:rsidRPr="009D0C97" w:rsidRDefault="006470A6">
      <w:pPr>
        <w:jc w:val="both"/>
        <w:rPr>
          <w:rFonts w:ascii="Helvetica 55 Roman" w:hAnsi="Helvetica 55 Roman"/>
          <w:sz w:val="20"/>
        </w:rPr>
      </w:pPr>
      <w:r w:rsidRPr="009D0C97">
        <w:rPr>
          <w:rFonts w:ascii="Helvetica 55 Roman" w:hAnsi="Helvetica 55 Roman"/>
          <w:sz w:val="20"/>
        </w:rPr>
        <w:t xml:space="preserve">In case a Party pre-plans to re-route (part of) its interconnect traffic to another </w:t>
      </w:r>
      <w:r w:rsidR="009D0C97">
        <w:rPr>
          <w:rFonts w:ascii="Helvetica 55 Roman" w:hAnsi="Helvetica 55 Roman"/>
          <w:sz w:val="20"/>
        </w:rPr>
        <w:t>route</w:t>
      </w:r>
      <w:r w:rsidRPr="009D0C97">
        <w:rPr>
          <w:rFonts w:ascii="Helvetica 55 Roman" w:hAnsi="Helvetica 55 Roman"/>
          <w:sz w:val="20"/>
        </w:rPr>
        <w:t xml:space="preserve"> in case of failure in the own Network, the re-routing plan shall be discussed at the TIC.</w:t>
      </w:r>
    </w:p>
    <w:p w14:paraId="6DF66843" w14:textId="77777777" w:rsidR="006470A6" w:rsidRPr="009D0C97" w:rsidRDefault="006470A6">
      <w:pPr>
        <w:jc w:val="both"/>
        <w:rPr>
          <w:rFonts w:ascii="Helvetica 55 Roman" w:hAnsi="Helvetica 55 Roman"/>
          <w:sz w:val="20"/>
        </w:rPr>
      </w:pPr>
      <w:r w:rsidRPr="009D0C97">
        <w:rPr>
          <w:rFonts w:ascii="Helvetica 55 Roman" w:hAnsi="Helvetica 55 Roman"/>
          <w:sz w:val="20"/>
        </w:rPr>
        <w:t>It is not allowed to overflow internal traffic to the other Party’s Network, except if this is provided for by a dedicated Service Plan under the terms and conditions set out therein.</w:t>
      </w:r>
    </w:p>
    <w:p w14:paraId="6DF66844" w14:textId="77777777" w:rsidR="006470A6" w:rsidRPr="009D0C97" w:rsidRDefault="006470A6">
      <w:pPr>
        <w:jc w:val="both"/>
        <w:rPr>
          <w:rFonts w:ascii="Helvetica 55 Roman" w:hAnsi="Helvetica 55 Roman"/>
          <w:sz w:val="20"/>
        </w:rPr>
      </w:pPr>
      <w:r w:rsidRPr="009D0C97">
        <w:rPr>
          <w:rFonts w:ascii="Helvetica 55 Roman" w:hAnsi="Helvetica 55 Roman"/>
          <w:sz w:val="20"/>
        </w:rPr>
        <w:t xml:space="preserve">A </w:t>
      </w:r>
      <w:r w:rsidR="009D0C97" w:rsidRPr="009D0C97">
        <w:rPr>
          <w:rFonts w:ascii="Helvetica 55 Roman" w:hAnsi="Helvetica 55 Roman"/>
          <w:sz w:val="20"/>
        </w:rPr>
        <w:t>SIP trunk</w:t>
      </w:r>
      <w:r w:rsidRPr="009D0C97">
        <w:rPr>
          <w:rFonts w:ascii="Helvetica 55 Roman" w:hAnsi="Helvetica 55 Roman"/>
          <w:sz w:val="20"/>
        </w:rPr>
        <w:t xml:space="preserve"> between the Networks of both Parties can be subdivided into several </w:t>
      </w:r>
      <w:r w:rsidR="009D0C97" w:rsidRPr="009D0C97">
        <w:rPr>
          <w:rFonts w:ascii="Helvetica 55 Roman" w:hAnsi="Helvetica 55 Roman"/>
          <w:sz w:val="20"/>
        </w:rPr>
        <w:t>SIP</w:t>
      </w:r>
      <w:r w:rsidRPr="009D0C97">
        <w:rPr>
          <w:rFonts w:ascii="Helvetica 55 Roman" w:hAnsi="Helvetica 55 Roman"/>
          <w:sz w:val="20"/>
        </w:rPr>
        <w:t xml:space="preserve"> </w:t>
      </w:r>
      <w:r w:rsidR="009D0C97" w:rsidRPr="009D0C97">
        <w:rPr>
          <w:rFonts w:ascii="Helvetica 55 Roman" w:hAnsi="Helvetica 55 Roman"/>
          <w:sz w:val="20"/>
        </w:rPr>
        <w:t xml:space="preserve">Trunk </w:t>
      </w:r>
      <w:r w:rsidRPr="009D0C97">
        <w:rPr>
          <w:rFonts w:ascii="Helvetica 55 Roman" w:hAnsi="Helvetica 55 Roman"/>
          <w:sz w:val="20"/>
        </w:rPr>
        <w:t xml:space="preserve">Groups. The Party, subscribing to a Service Plan of the other Party, will also propose which </w:t>
      </w:r>
      <w:r w:rsidR="009D0C97" w:rsidRPr="009D0C97">
        <w:rPr>
          <w:rFonts w:ascii="Helvetica 55 Roman" w:hAnsi="Helvetica 55 Roman"/>
          <w:sz w:val="20"/>
        </w:rPr>
        <w:t xml:space="preserve">SIP Trunk </w:t>
      </w:r>
      <w:r w:rsidRPr="009D0C97">
        <w:rPr>
          <w:rFonts w:ascii="Helvetica 55 Roman" w:hAnsi="Helvetica 55 Roman"/>
          <w:sz w:val="20"/>
        </w:rPr>
        <w:t xml:space="preserve">Group will carry the related traffic, taking into account any relevant service/regulatory considerations as specified in the Service Plans. The </w:t>
      </w:r>
      <w:r w:rsidR="009D0C97" w:rsidRPr="009D0C97">
        <w:rPr>
          <w:rFonts w:ascii="Helvetica 55 Roman" w:hAnsi="Helvetica 55 Roman"/>
          <w:sz w:val="20"/>
        </w:rPr>
        <w:t>SIP Trunk Group</w:t>
      </w:r>
      <w:r w:rsidRPr="009D0C97">
        <w:rPr>
          <w:rFonts w:ascii="Helvetica 55 Roman" w:hAnsi="Helvetica 55 Roman"/>
          <w:sz w:val="20"/>
        </w:rPr>
        <w:t xml:space="preserve">s </w:t>
      </w:r>
      <w:r w:rsidR="009D0C97" w:rsidRPr="009D0C97">
        <w:rPr>
          <w:rFonts w:ascii="Helvetica 55 Roman" w:hAnsi="Helvetica 55 Roman"/>
          <w:sz w:val="20"/>
        </w:rPr>
        <w:t>w</w:t>
      </w:r>
      <w:r w:rsidRPr="009D0C97">
        <w:rPr>
          <w:rFonts w:ascii="Helvetica 55 Roman" w:hAnsi="Helvetica 55 Roman"/>
          <w:sz w:val="20"/>
        </w:rPr>
        <w:t>ill be defined and updated through the Technical Interconnection Meetings.</w:t>
      </w:r>
    </w:p>
    <w:p w14:paraId="6DF66845" w14:textId="77777777" w:rsidR="006470A6" w:rsidRPr="009D0C97" w:rsidRDefault="006470A6">
      <w:pPr>
        <w:jc w:val="both"/>
        <w:rPr>
          <w:rFonts w:ascii="Helvetica 55 Roman" w:hAnsi="Helvetica 55 Roman"/>
          <w:sz w:val="20"/>
        </w:rPr>
      </w:pPr>
      <w:r w:rsidRPr="009D0C97">
        <w:rPr>
          <w:rFonts w:ascii="Helvetica 55 Roman" w:hAnsi="Helvetica 55 Roman"/>
          <w:sz w:val="20"/>
        </w:rPr>
        <w:t>Each Party shall route the other Party’s traffic in accordance with the following routing principles:</w:t>
      </w:r>
    </w:p>
    <w:p w14:paraId="6DF66846" w14:textId="77777777" w:rsidR="006470A6" w:rsidRPr="009D0C97" w:rsidRDefault="006470A6" w:rsidP="00E14ABC">
      <w:pPr>
        <w:pStyle w:val="Optie"/>
        <w:numPr>
          <w:ilvl w:val="0"/>
          <w:numId w:val="1"/>
        </w:numPr>
        <w:ind w:left="284" w:hanging="284"/>
        <w:jc w:val="both"/>
        <w:rPr>
          <w:rFonts w:ascii="Helvetica 55 Roman" w:hAnsi="Helvetica 55 Roman"/>
          <w:sz w:val="20"/>
        </w:rPr>
      </w:pPr>
      <w:r w:rsidRPr="009D0C97">
        <w:rPr>
          <w:rFonts w:ascii="Helvetica 55 Roman" w:hAnsi="Helvetica 55 Roman"/>
          <w:sz w:val="20"/>
        </w:rPr>
        <w:t>there shall be no discrimination in the routing of traffic in a Party’s Network between the traffic of such Party’s Service Users and the other Party’s Service Users;</w:t>
      </w:r>
    </w:p>
    <w:p w14:paraId="6DF66847" w14:textId="77777777" w:rsidR="006470A6" w:rsidRPr="009D0C97" w:rsidRDefault="006470A6" w:rsidP="00E14ABC">
      <w:pPr>
        <w:pStyle w:val="Optie"/>
        <w:numPr>
          <w:ilvl w:val="0"/>
          <w:numId w:val="1"/>
        </w:numPr>
        <w:ind w:left="284" w:hanging="284"/>
        <w:jc w:val="both"/>
        <w:rPr>
          <w:rFonts w:ascii="Helvetica 55 Roman" w:hAnsi="Helvetica 55 Roman"/>
          <w:sz w:val="20"/>
        </w:rPr>
      </w:pPr>
      <w:r w:rsidRPr="009D0C97">
        <w:rPr>
          <w:rFonts w:ascii="Helvetica 55 Roman" w:hAnsi="Helvetica 55 Roman"/>
          <w:sz w:val="20"/>
        </w:rPr>
        <w:t>the Parties shall develop and apply Network management strategies and procedures to maintain service quality and to protect the Parties’ Networks as appropriate;</w:t>
      </w:r>
    </w:p>
    <w:p w14:paraId="6DF66848" w14:textId="77777777" w:rsidR="006470A6" w:rsidRPr="009D0C97" w:rsidRDefault="006470A6" w:rsidP="00E14ABC">
      <w:pPr>
        <w:pStyle w:val="Optie"/>
        <w:numPr>
          <w:ilvl w:val="0"/>
          <w:numId w:val="1"/>
        </w:numPr>
        <w:ind w:left="284" w:hanging="284"/>
        <w:jc w:val="both"/>
        <w:rPr>
          <w:rFonts w:ascii="Helvetica 55 Roman" w:hAnsi="Helvetica 55 Roman"/>
          <w:sz w:val="20"/>
        </w:rPr>
      </w:pPr>
      <w:r w:rsidRPr="009D0C97">
        <w:rPr>
          <w:rFonts w:ascii="Helvetica 55 Roman" w:hAnsi="Helvetica 55 Roman"/>
          <w:sz w:val="20"/>
        </w:rPr>
        <w:t>destinations with a low Answer Bid Ratio (e.g. Hard To Reach destinations or destinations with an “explosive” call pattern) will be characterised by one or more specific sub-ranges within the VAS number ranges allocated to a Party, in order to allow the other Party in whose Network the Calls originate, to protect its Network against the negative effects of such kind of traffic by isolating the traffic concerned from normal ABR traffic or by applying Protection call control on HTR or explosive traffic destinations characterised by the predefined low ABR sub-range. A Party may also apply these measures on the complete VAS number ranges allocated to the other Party, if it finds that the other Party is operating low ABR services without reserving a dedicated sub-range for it.</w:t>
      </w:r>
    </w:p>
    <w:p w14:paraId="6DF66849" w14:textId="77777777" w:rsidR="006470A6" w:rsidRPr="009D0C97" w:rsidRDefault="006470A6">
      <w:pPr>
        <w:jc w:val="both"/>
        <w:rPr>
          <w:rFonts w:ascii="Helvetica 55 Roman" w:hAnsi="Helvetica 55 Roman"/>
          <w:sz w:val="20"/>
        </w:rPr>
      </w:pPr>
      <w:r w:rsidRPr="009D0C97">
        <w:rPr>
          <w:rFonts w:ascii="Helvetica 55 Roman" w:hAnsi="Helvetica 55 Roman"/>
          <w:sz w:val="20"/>
        </w:rPr>
        <w:t>In addition to this, both Parties can agree about protection measures like route diversity on the transmission or the switching level.  Full details of these measures will be defined and updated through the TIC Meetings after they have been commercially agreed.</w:t>
      </w:r>
    </w:p>
    <w:p w14:paraId="6DF6684A" w14:textId="77777777" w:rsidR="006470A6" w:rsidRPr="00AC56F7" w:rsidRDefault="006470A6">
      <w:pPr>
        <w:jc w:val="both"/>
        <w:rPr>
          <w:rFonts w:ascii="Helvetica 55 Roman" w:hAnsi="Helvetica 55 Roman"/>
        </w:rPr>
      </w:pPr>
    </w:p>
    <w:p w14:paraId="6DF6684B" w14:textId="77777777" w:rsidR="006470A6" w:rsidRPr="00AC56F7" w:rsidRDefault="006470A6">
      <w:pPr>
        <w:pStyle w:val="Heading1"/>
        <w:jc w:val="both"/>
        <w:rPr>
          <w:rFonts w:ascii="Helvetica 55 Roman" w:hAnsi="Helvetica 55 Roman"/>
        </w:rPr>
      </w:pPr>
      <w:bookmarkStart w:id="50" w:name="_Ref441633845"/>
      <w:bookmarkStart w:id="51" w:name="_Toc45704643"/>
      <w:r w:rsidRPr="00AC56F7">
        <w:rPr>
          <w:rFonts w:ascii="Helvetica 55 Roman" w:hAnsi="Helvetica 55 Roman"/>
        </w:rPr>
        <w:t>Signalling</w:t>
      </w:r>
      <w:bookmarkEnd w:id="50"/>
      <w:bookmarkEnd w:id="51"/>
    </w:p>
    <w:p w14:paraId="6DF6684C" w14:textId="77777777" w:rsidR="006470A6" w:rsidRPr="009D0C97" w:rsidRDefault="006470A6">
      <w:pPr>
        <w:jc w:val="both"/>
        <w:rPr>
          <w:rFonts w:ascii="Helvetica 55 Roman" w:hAnsi="Helvetica 55 Roman"/>
          <w:sz w:val="20"/>
        </w:rPr>
      </w:pPr>
      <w:r w:rsidRPr="009D0C97">
        <w:rPr>
          <w:rFonts w:ascii="Helvetica 55 Roman" w:hAnsi="Helvetica 55 Roman"/>
          <w:sz w:val="20"/>
        </w:rPr>
        <w:t xml:space="preserve">The </w:t>
      </w:r>
      <w:r w:rsidR="006850D4" w:rsidRPr="009D0C97">
        <w:rPr>
          <w:rFonts w:ascii="Helvetica 55 Roman" w:hAnsi="Helvetica 55 Roman"/>
          <w:sz w:val="20"/>
        </w:rPr>
        <w:t>Orange Belgium</w:t>
      </w:r>
      <w:r w:rsidRPr="009D0C97">
        <w:rPr>
          <w:rFonts w:ascii="Helvetica 55 Roman" w:hAnsi="Helvetica 55 Roman"/>
          <w:sz w:val="20"/>
        </w:rPr>
        <w:t xml:space="preserve"> network contains two STP</w:t>
      </w:r>
      <w:r w:rsidR="009D0C97">
        <w:rPr>
          <w:rFonts w:ascii="Helvetica 55 Roman" w:hAnsi="Helvetica 55 Roman"/>
          <w:sz w:val="20"/>
        </w:rPr>
        <w:t>’</w:t>
      </w:r>
      <w:r w:rsidRPr="009D0C97">
        <w:rPr>
          <w:rFonts w:ascii="Helvetica 55 Roman" w:hAnsi="Helvetica 55 Roman"/>
          <w:sz w:val="20"/>
        </w:rPr>
        <w:t xml:space="preserve">s that handle the signalling messages. </w:t>
      </w:r>
      <w:r w:rsidR="006850D4" w:rsidRPr="009D0C97">
        <w:rPr>
          <w:rFonts w:ascii="Helvetica 55 Roman" w:hAnsi="Helvetica 55 Roman"/>
          <w:sz w:val="20"/>
        </w:rPr>
        <w:t>Orange Belgium</w:t>
      </w:r>
      <w:r w:rsidRPr="009D0C97">
        <w:rPr>
          <w:rFonts w:ascii="Helvetica 55 Roman" w:hAnsi="Helvetica 55 Roman"/>
          <w:sz w:val="20"/>
        </w:rPr>
        <w:t xml:space="preserve"> requires that all the signalling info goes through these network equipment</w:t>
      </w:r>
      <w:r w:rsidR="009D0C97">
        <w:rPr>
          <w:rFonts w:ascii="Helvetica 55 Roman" w:hAnsi="Helvetica 55 Roman"/>
          <w:sz w:val="20"/>
        </w:rPr>
        <w:t>’</w:t>
      </w:r>
      <w:r w:rsidRPr="009D0C97">
        <w:rPr>
          <w:rFonts w:ascii="Helvetica 55 Roman" w:hAnsi="Helvetica 55 Roman"/>
          <w:sz w:val="20"/>
        </w:rPr>
        <w:t>s.</w:t>
      </w:r>
    </w:p>
    <w:p w14:paraId="6DF6684D" w14:textId="77777777" w:rsidR="006470A6" w:rsidRPr="009D0C97" w:rsidRDefault="006850D4">
      <w:pPr>
        <w:jc w:val="both"/>
        <w:rPr>
          <w:rFonts w:ascii="Helvetica 55 Roman" w:hAnsi="Helvetica 55 Roman"/>
          <w:sz w:val="20"/>
        </w:rPr>
      </w:pPr>
      <w:r w:rsidRPr="009D0C97">
        <w:rPr>
          <w:rFonts w:ascii="Helvetica 55 Roman" w:hAnsi="Helvetica 55 Roman"/>
          <w:sz w:val="20"/>
        </w:rPr>
        <w:t>Orange Belgium</w:t>
      </w:r>
      <w:r w:rsidR="006470A6" w:rsidRPr="009D0C97">
        <w:rPr>
          <w:rFonts w:ascii="Helvetica 55 Roman" w:hAnsi="Helvetica 55 Roman"/>
          <w:sz w:val="20"/>
        </w:rPr>
        <w:t xml:space="preserve"> recommends interconnecting its STP</w:t>
      </w:r>
      <w:r w:rsidR="006E699D" w:rsidRPr="009D0C97">
        <w:rPr>
          <w:rFonts w:ascii="Helvetica 55 Roman" w:hAnsi="Helvetica 55 Roman"/>
          <w:sz w:val="20"/>
        </w:rPr>
        <w:t xml:space="preserve"> through SIGTRAN</w:t>
      </w:r>
      <w:r w:rsidR="006470A6" w:rsidRPr="009D0C97">
        <w:rPr>
          <w:rFonts w:ascii="Helvetica 55 Roman" w:hAnsi="Helvetica 55 Roman"/>
          <w:sz w:val="20"/>
        </w:rPr>
        <w:t xml:space="preserve"> via at least 2 </w:t>
      </w:r>
      <w:r w:rsidR="006E699D" w:rsidRPr="009D0C97">
        <w:rPr>
          <w:rFonts w:ascii="Helvetica 55 Roman" w:hAnsi="Helvetica 55 Roman"/>
          <w:sz w:val="20"/>
        </w:rPr>
        <w:t xml:space="preserve">IP </w:t>
      </w:r>
      <w:r w:rsidR="006470A6" w:rsidRPr="009D0C97">
        <w:rPr>
          <w:rFonts w:ascii="Helvetica 55 Roman" w:hAnsi="Helvetica 55 Roman"/>
          <w:sz w:val="20"/>
        </w:rPr>
        <w:t xml:space="preserve">Links to increase the diversity. All needed information about signalling management by </w:t>
      </w:r>
      <w:r w:rsidRPr="009D0C97">
        <w:rPr>
          <w:rFonts w:ascii="Helvetica 55 Roman" w:hAnsi="Helvetica 55 Roman"/>
          <w:sz w:val="20"/>
        </w:rPr>
        <w:t>Orange Belgium</w:t>
      </w:r>
      <w:r w:rsidR="006470A6" w:rsidRPr="009D0C97">
        <w:rPr>
          <w:rFonts w:ascii="Helvetica 55 Roman" w:hAnsi="Helvetica 55 Roman"/>
          <w:sz w:val="20"/>
        </w:rPr>
        <w:t xml:space="preserve"> is to be found in </w:t>
      </w:r>
      <w:r w:rsidR="00336940" w:rsidRPr="009D0C97">
        <w:rPr>
          <w:rFonts w:ascii="Helvetica 55 Roman" w:hAnsi="Helvetica 55 Roman"/>
          <w:sz w:val="20"/>
        </w:rPr>
        <w:t xml:space="preserve">the </w:t>
      </w:r>
      <w:r w:rsidR="006470A6" w:rsidRPr="009D0C97">
        <w:rPr>
          <w:rFonts w:ascii="Helvetica 55 Roman" w:hAnsi="Helvetica 55 Roman"/>
          <w:sz w:val="20"/>
        </w:rPr>
        <w:t>Technical Specification document.</w:t>
      </w:r>
    </w:p>
    <w:p w14:paraId="6DF6684E" w14:textId="77777777" w:rsidR="00336940" w:rsidRPr="009D0C97" w:rsidRDefault="00336940">
      <w:pPr>
        <w:jc w:val="both"/>
        <w:rPr>
          <w:rFonts w:ascii="Helvetica 55 Roman" w:hAnsi="Helvetica 55 Roman"/>
          <w:sz w:val="20"/>
        </w:rPr>
      </w:pPr>
    </w:p>
    <w:p w14:paraId="6DF6684F" w14:textId="77777777" w:rsidR="006470A6" w:rsidRDefault="006470A6" w:rsidP="006E699D">
      <w:pPr>
        <w:jc w:val="both"/>
        <w:rPr>
          <w:rFonts w:ascii="Helvetica 55 Roman" w:hAnsi="Helvetica 55 Roman"/>
          <w:sz w:val="20"/>
        </w:rPr>
      </w:pPr>
      <w:r w:rsidRPr="009D0C97">
        <w:rPr>
          <w:rFonts w:ascii="Helvetica 55 Roman" w:hAnsi="Helvetica 55 Roman"/>
          <w:sz w:val="20"/>
        </w:rPr>
        <w:t>The Parties shall apply SS7 signalling between their Signalling Points. Both Parties will apply the same route priority scheme, in order to make it easily possible to trace a complete</w:t>
      </w:r>
      <w:r w:rsidR="006E699D" w:rsidRPr="009D0C97">
        <w:rPr>
          <w:rFonts w:ascii="Helvetica 55 Roman" w:hAnsi="Helvetica 55 Roman"/>
          <w:sz w:val="20"/>
        </w:rPr>
        <w:t xml:space="preserve"> SMS </w:t>
      </w:r>
      <w:r w:rsidRPr="009D0C97">
        <w:rPr>
          <w:rFonts w:ascii="Helvetica 55 Roman" w:hAnsi="Helvetica 55 Roman"/>
          <w:sz w:val="20"/>
        </w:rPr>
        <w:t xml:space="preserve">scenario on one signalling link. All signalling related to a particular </w:t>
      </w:r>
      <w:proofErr w:type="spellStart"/>
      <w:r w:rsidR="006E699D" w:rsidRPr="009D0C97">
        <w:rPr>
          <w:rFonts w:ascii="Helvetica 55 Roman" w:hAnsi="Helvetica 55 Roman"/>
          <w:sz w:val="20"/>
        </w:rPr>
        <w:t>SMS</w:t>
      </w:r>
      <w:r w:rsidRPr="009D0C97">
        <w:rPr>
          <w:rFonts w:ascii="Helvetica 55 Roman" w:hAnsi="Helvetica 55 Roman"/>
          <w:sz w:val="20"/>
        </w:rPr>
        <w:t>l</w:t>
      </w:r>
      <w:proofErr w:type="spellEnd"/>
      <w:r w:rsidRPr="009D0C97">
        <w:rPr>
          <w:rFonts w:ascii="Helvetica 55 Roman" w:hAnsi="Helvetica 55 Roman"/>
          <w:sz w:val="20"/>
        </w:rPr>
        <w:t xml:space="preserve"> will follow the same signalling link, excepted if th</w:t>
      </w:r>
      <w:r w:rsidR="006E699D" w:rsidRPr="009D0C97">
        <w:rPr>
          <w:rFonts w:ascii="Helvetica 55 Roman" w:hAnsi="Helvetica 55 Roman"/>
          <w:sz w:val="20"/>
        </w:rPr>
        <w:t>is is technically not possible.</w:t>
      </w:r>
    </w:p>
    <w:p w14:paraId="6DF66850" w14:textId="77777777" w:rsidR="00AF2E8C" w:rsidRDefault="00AF2E8C" w:rsidP="006E699D">
      <w:pPr>
        <w:jc w:val="both"/>
        <w:rPr>
          <w:rFonts w:ascii="Helvetica 55 Roman" w:hAnsi="Helvetica 55 Roman"/>
          <w:sz w:val="20"/>
        </w:rPr>
      </w:pPr>
    </w:p>
    <w:p w14:paraId="6DF66851" w14:textId="77777777" w:rsidR="00AF2E8C" w:rsidRPr="00B77FBA" w:rsidRDefault="00AF2E8C" w:rsidP="00AF2E8C">
      <w:pPr>
        <w:jc w:val="center"/>
        <w:rPr>
          <w:rFonts w:ascii="Helvetica 55 Roman" w:hAnsi="Helvetica 55 Roman"/>
          <w:sz w:val="32"/>
        </w:rPr>
      </w:pPr>
      <w:r w:rsidRPr="00B77FBA">
        <w:rPr>
          <w:rFonts w:ascii="Helvetica 55 Roman" w:hAnsi="Helvetica 55 Roman"/>
          <w:sz w:val="32"/>
        </w:rPr>
        <w:t>- END OF DOCUMENT -</w:t>
      </w:r>
      <w:bookmarkEnd w:id="10"/>
    </w:p>
    <w:sectPr w:rsidR="00AF2E8C" w:rsidRPr="00B77FBA" w:rsidSect="00FE1724">
      <w:headerReference w:type="even" r:id="rId11"/>
      <w:headerReference w:type="first" r:id="rId12"/>
      <w:pgSz w:w="11907" w:h="16840" w:code="9"/>
      <w:pgMar w:top="1418" w:right="1134" w:bottom="1418"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0972C" w14:textId="77777777" w:rsidR="009B1D81" w:rsidRDefault="009B1D81">
      <w:r>
        <w:separator/>
      </w:r>
    </w:p>
  </w:endnote>
  <w:endnote w:type="continuationSeparator" w:id="0">
    <w:p w14:paraId="276E6BF1" w14:textId="77777777" w:rsidR="009B1D81" w:rsidRDefault="009B1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bistar Regular">
    <w:panose1 w:val="02000503040000060004"/>
    <w:charset w:val="00"/>
    <w:family w:val="modern"/>
    <w:notTrueType/>
    <w:pitch w:val="variable"/>
    <w:sig w:usb0="8000002F" w:usb1="5000204A" w:usb2="00000000" w:usb3="00000000" w:csb0="00000001" w:csb1="00000000"/>
  </w:font>
  <w:font w:name="Helvetica 55 Roman">
    <w:panose1 w:val="02000503040000020004"/>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D96A1" w14:textId="77777777" w:rsidR="009B1D81" w:rsidRDefault="009B1D81">
      <w:r>
        <w:separator/>
      </w:r>
    </w:p>
  </w:footnote>
  <w:footnote w:type="continuationSeparator" w:id="0">
    <w:p w14:paraId="753A51FA" w14:textId="77777777" w:rsidR="009B1D81" w:rsidRDefault="009B1D81">
      <w:r>
        <w:continuationSeparator/>
      </w:r>
    </w:p>
  </w:footnote>
  <w:footnote w:id="1">
    <w:p w14:paraId="6DF66865" w14:textId="77777777" w:rsidR="00AE4180" w:rsidRPr="009D0C97" w:rsidRDefault="00AE4180">
      <w:pPr>
        <w:pStyle w:val="FootnoteText"/>
        <w:rPr>
          <w:rFonts w:ascii="Helvetica 55 Roman" w:hAnsi="Helvetica 55 Roman"/>
        </w:rPr>
      </w:pPr>
      <w:r w:rsidRPr="009D0C97">
        <w:rPr>
          <w:rStyle w:val="FootnoteReference"/>
          <w:rFonts w:ascii="Helvetica 55 Roman" w:hAnsi="Helvetica 55 Roman"/>
        </w:rPr>
        <w:footnoteRef/>
      </w:r>
      <w:r w:rsidRPr="009D0C97">
        <w:rPr>
          <w:rFonts w:ascii="Helvetica 55 Roman" w:hAnsi="Helvetica 55 Roman"/>
        </w:rPr>
        <w:t xml:space="preserve"> As far as ORANGE BE is concerned, the additional </w:t>
      </w:r>
      <w:r>
        <w:rPr>
          <w:rFonts w:ascii="Helvetica 55 Roman" w:hAnsi="Helvetica 55 Roman"/>
        </w:rPr>
        <w:t>IP</w:t>
      </w:r>
      <w:r w:rsidRPr="009D0C97">
        <w:rPr>
          <w:rFonts w:ascii="Helvetica 55 Roman" w:hAnsi="Helvetica 55 Roman"/>
        </w:rPr>
        <w:t xml:space="preserve"> Capacity will be supplied on a ”first come, first served” basis in respect of any possible Order of the same type.</w:t>
      </w:r>
    </w:p>
  </w:footnote>
  <w:footnote w:id="2">
    <w:p w14:paraId="6DF66866" w14:textId="77777777" w:rsidR="00AE4180" w:rsidRDefault="00AE418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66856" w14:textId="77777777" w:rsidR="00AE4180" w:rsidRDefault="00AE41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45</w:t>
    </w:r>
    <w:r>
      <w:rPr>
        <w:rStyle w:val="PageNumber"/>
      </w:rPr>
      <w:fldChar w:fldCharType="end"/>
    </w:r>
  </w:p>
  <w:p w14:paraId="6DF66857" w14:textId="77777777" w:rsidR="00AE4180" w:rsidRDefault="00AE41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66858" w14:textId="77777777" w:rsidR="00AE4180" w:rsidRDefault="00AE4180">
    <w:pPr>
      <w:pStyle w:val="Header"/>
      <w:framePr w:hSpace="181" w:wrap="around" w:vAnchor="page" w:hAnchor="page" w:x="568" w:y="681"/>
    </w:pPr>
    <w:r>
      <w:rPr>
        <w:noProof/>
        <w:lang w:val="en-US" w:eastAsia="en-US"/>
      </w:rPr>
      <w:drawing>
        <wp:inline distT="0" distB="0" distL="0" distR="0" wp14:anchorId="6DF66863" wp14:editId="6DF66864">
          <wp:extent cx="1409700" cy="1371600"/>
          <wp:effectExtent l="0" t="0" r="0" b="0"/>
          <wp:docPr id="3" name="Picture 3" descr="C:\DATA\CLIPART\LOGOBNE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ATA\CLIPART\LOGOBNEW.WMF"/>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409700" cy="1371600"/>
                  </a:xfrm>
                  <a:prstGeom prst="rect">
                    <a:avLst/>
                  </a:prstGeom>
                  <a:noFill/>
                  <a:ln>
                    <a:noFill/>
                  </a:ln>
                </pic:spPr>
              </pic:pic>
            </a:graphicData>
          </a:graphic>
        </wp:inline>
      </w:drawing>
    </w:r>
  </w:p>
  <w:p w14:paraId="6DF66859" w14:textId="77777777" w:rsidR="00AE4180" w:rsidRDefault="00AE4180">
    <w:pPr>
      <w:pStyle w:val="Header"/>
      <w:spacing w:line="240" w:lineRule="exact"/>
    </w:pPr>
  </w:p>
  <w:p w14:paraId="6DF6685A" w14:textId="77777777" w:rsidR="00AE4180" w:rsidRDefault="00AE4180">
    <w:pPr>
      <w:pStyle w:val="Header"/>
      <w:spacing w:line="240" w:lineRule="exact"/>
      <w:jc w:val="center"/>
    </w:pPr>
    <w:r>
      <w:tab/>
    </w:r>
  </w:p>
  <w:p w14:paraId="6DF6685B" w14:textId="77777777" w:rsidR="00AE4180" w:rsidRDefault="00AE4180">
    <w:pPr>
      <w:pStyle w:val="Header"/>
      <w:spacing w:line="240" w:lineRule="exact"/>
      <w:jc w:val="center"/>
    </w:pPr>
    <w:r>
      <w:t>REQUEST FORM: VISITOR BADGES FOR EMPLOYEES OR PERSONS “FROM OUTSIDE THE COMPANY”</w:t>
    </w:r>
  </w:p>
  <w:p w14:paraId="6DF6685C" w14:textId="77777777" w:rsidR="00AE4180" w:rsidRDefault="00AE4180">
    <w:pPr>
      <w:pStyle w:val="Header"/>
      <w:spacing w:line="240" w:lineRule="exact"/>
      <w:jc w:val="center"/>
    </w:pPr>
  </w:p>
  <w:p w14:paraId="6DF6685D" w14:textId="77777777" w:rsidR="00AE4180" w:rsidRDefault="00AE4180">
    <w:pPr>
      <w:pStyle w:val="Header"/>
      <w:spacing w:line="240" w:lineRule="exact"/>
      <w:jc w:val="center"/>
      <w:rPr>
        <w:b/>
        <w:i/>
        <w:sz w:val="28"/>
        <w:u w:val="single"/>
      </w:rPr>
    </w:pPr>
    <w:r>
      <w:rPr>
        <w:b/>
        <w:i/>
        <w:u w:val="single"/>
      </w:rPr>
      <w:t xml:space="preserve">WHO </w:t>
    </w:r>
    <w:r>
      <w:rPr>
        <w:b/>
        <w:i/>
        <w:sz w:val="28"/>
        <w:u w:val="double"/>
      </w:rPr>
      <w:t>DOESN’T</w:t>
    </w:r>
    <w:r>
      <w:rPr>
        <w:b/>
        <w:i/>
        <w:u w:val="single"/>
      </w:rPr>
      <w:t xml:space="preserve"> HAVE A ORANGE BE PER-NUMBER</w:t>
    </w:r>
  </w:p>
  <w:p w14:paraId="6DF6685E" w14:textId="77777777" w:rsidR="00AE4180" w:rsidRDefault="00AE4180">
    <w:pPr>
      <w:pStyle w:val="Header"/>
      <w:spacing w:line="240" w:lineRule="exact"/>
      <w:jc w:val="center"/>
      <w:rPr>
        <w:sz w:val="28"/>
      </w:rPr>
    </w:pPr>
  </w:p>
  <w:p w14:paraId="6DF6685F" w14:textId="77777777" w:rsidR="00AE4180" w:rsidRDefault="00AE4180">
    <w:pPr>
      <w:pStyle w:val="Header"/>
      <w:spacing w:line="240" w:lineRule="exact"/>
      <w:jc w:val="center"/>
      <w:rPr>
        <w:b/>
      </w:rPr>
    </w:pPr>
    <w:r>
      <w:t xml:space="preserve">Valid only if signed and dated by ORANGE BE contact person, requesting service </w:t>
    </w:r>
    <w:r>
      <w:rPr>
        <w:b/>
      </w:rPr>
      <w:t>(minimum Level 1)</w:t>
    </w:r>
  </w:p>
  <w:p w14:paraId="6DF66860" w14:textId="77777777" w:rsidR="00AE4180" w:rsidRDefault="00AE4180">
    <w:pPr>
      <w:pStyle w:val="Header"/>
      <w:spacing w:line="240" w:lineRule="exact"/>
      <w:jc w:val="center"/>
    </w:pPr>
  </w:p>
  <w:p w14:paraId="6DF66861" w14:textId="77777777" w:rsidR="00AE4180" w:rsidRDefault="00AE4180">
    <w:pPr>
      <w:pStyle w:val="Header"/>
      <w:spacing w:line="240" w:lineRule="exact"/>
      <w:jc w:val="center"/>
    </w:pPr>
    <w:r>
      <w:t>Notice! Period of validity of Badge must be renewed every six months, only upon request.</w:t>
    </w:r>
  </w:p>
  <w:p w14:paraId="6DF66862" w14:textId="77777777" w:rsidR="00AE4180" w:rsidRDefault="00AE4180">
    <w:pPr>
      <w:pStyle w:val="Heade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37057C2"/>
    <w:multiLevelType w:val="hybridMultilevel"/>
    <w:tmpl w:val="F0DC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14A3C"/>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4121"/>
        </w:tabs>
        <w:ind w:left="4121" w:hanging="576"/>
      </w:pPr>
    </w:lvl>
    <w:lvl w:ilvl="2">
      <w:start w:val="1"/>
      <w:numFmt w:val="decimal"/>
      <w:pStyle w:val="Heading3"/>
      <w:lvlText w:val="%1.%2.%3"/>
      <w:lvlJc w:val="left"/>
      <w:pPr>
        <w:tabs>
          <w:tab w:val="num" w:pos="3839"/>
        </w:tabs>
        <w:ind w:left="3839"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8" w:dllVersion="513" w:checkStyle="1"/>
  <w:activeWritingStyle w:appName="MSWord" w:lang="en-US" w:vendorID="8" w:dllVersion="513" w:checkStyle="1"/>
  <w:activeWritingStyle w:appName="MSWord" w:lang="nl-NL" w:vendorID="9" w:dllVersion="512" w:checkStyle="1"/>
  <w:activeWritingStyle w:appName="MSWord" w:lang="nl-BE" w:vendorID="9" w:dllVersion="512" w:checkStyle="1"/>
  <w:activeWritingStyle w:appName="MSWord" w:lang="nl-BE"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56"/>
    <w:rsid w:val="00055D86"/>
    <w:rsid w:val="00094EEE"/>
    <w:rsid w:val="000C7752"/>
    <w:rsid w:val="000F0FE8"/>
    <w:rsid w:val="00124C2E"/>
    <w:rsid w:val="00133593"/>
    <w:rsid w:val="001712F1"/>
    <w:rsid w:val="00184C41"/>
    <w:rsid w:val="001D319C"/>
    <w:rsid w:val="001F50D5"/>
    <w:rsid w:val="002131EA"/>
    <w:rsid w:val="00226AD8"/>
    <w:rsid w:val="002345E3"/>
    <w:rsid w:val="002359A8"/>
    <w:rsid w:val="00255613"/>
    <w:rsid w:val="002B4C84"/>
    <w:rsid w:val="002C56B6"/>
    <w:rsid w:val="0031500F"/>
    <w:rsid w:val="00333508"/>
    <w:rsid w:val="00336940"/>
    <w:rsid w:val="00361D44"/>
    <w:rsid w:val="00391815"/>
    <w:rsid w:val="003A6875"/>
    <w:rsid w:val="003C0B64"/>
    <w:rsid w:val="00451E3F"/>
    <w:rsid w:val="00460C86"/>
    <w:rsid w:val="004C3ED8"/>
    <w:rsid w:val="004E3184"/>
    <w:rsid w:val="00532E5D"/>
    <w:rsid w:val="005A38E6"/>
    <w:rsid w:val="005B311F"/>
    <w:rsid w:val="005C5659"/>
    <w:rsid w:val="005D30E5"/>
    <w:rsid w:val="005D4D5D"/>
    <w:rsid w:val="005D76DE"/>
    <w:rsid w:val="005F0496"/>
    <w:rsid w:val="005F2E3E"/>
    <w:rsid w:val="00616F08"/>
    <w:rsid w:val="006470A6"/>
    <w:rsid w:val="0065054A"/>
    <w:rsid w:val="00654506"/>
    <w:rsid w:val="006652B9"/>
    <w:rsid w:val="006758D5"/>
    <w:rsid w:val="006850D4"/>
    <w:rsid w:val="006A3804"/>
    <w:rsid w:val="006A44F8"/>
    <w:rsid w:val="006B26A2"/>
    <w:rsid w:val="006E699D"/>
    <w:rsid w:val="00737300"/>
    <w:rsid w:val="0074443D"/>
    <w:rsid w:val="0075473F"/>
    <w:rsid w:val="00766057"/>
    <w:rsid w:val="00780836"/>
    <w:rsid w:val="0079544A"/>
    <w:rsid w:val="007D10B1"/>
    <w:rsid w:val="007E47B7"/>
    <w:rsid w:val="00826F06"/>
    <w:rsid w:val="00833665"/>
    <w:rsid w:val="00835BE2"/>
    <w:rsid w:val="00845F3E"/>
    <w:rsid w:val="008A010D"/>
    <w:rsid w:val="008A1447"/>
    <w:rsid w:val="008A7DD4"/>
    <w:rsid w:val="008B2C16"/>
    <w:rsid w:val="008C26D1"/>
    <w:rsid w:val="008D7BB3"/>
    <w:rsid w:val="008E614A"/>
    <w:rsid w:val="009409C3"/>
    <w:rsid w:val="0094273A"/>
    <w:rsid w:val="009503AB"/>
    <w:rsid w:val="009706B9"/>
    <w:rsid w:val="00975349"/>
    <w:rsid w:val="009A5D25"/>
    <w:rsid w:val="009A7156"/>
    <w:rsid w:val="009B1D81"/>
    <w:rsid w:val="009C4F3D"/>
    <w:rsid w:val="009D0C97"/>
    <w:rsid w:val="009F6A30"/>
    <w:rsid w:val="00A052AC"/>
    <w:rsid w:val="00A06F92"/>
    <w:rsid w:val="00A21BAC"/>
    <w:rsid w:val="00A31314"/>
    <w:rsid w:val="00A32CC4"/>
    <w:rsid w:val="00A3603C"/>
    <w:rsid w:val="00A42B5E"/>
    <w:rsid w:val="00A46566"/>
    <w:rsid w:val="00A47681"/>
    <w:rsid w:val="00A60D7B"/>
    <w:rsid w:val="00A65126"/>
    <w:rsid w:val="00A86752"/>
    <w:rsid w:val="00AC56F7"/>
    <w:rsid w:val="00AE34B9"/>
    <w:rsid w:val="00AE4180"/>
    <w:rsid w:val="00AF2E8C"/>
    <w:rsid w:val="00B008CB"/>
    <w:rsid w:val="00B518AE"/>
    <w:rsid w:val="00B612E2"/>
    <w:rsid w:val="00B7027F"/>
    <w:rsid w:val="00BA1484"/>
    <w:rsid w:val="00BD1565"/>
    <w:rsid w:val="00BE3816"/>
    <w:rsid w:val="00BF31A2"/>
    <w:rsid w:val="00C2348E"/>
    <w:rsid w:val="00C83E37"/>
    <w:rsid w:val="00CA2CF9"/>
    <w:rsid w:val="00CB5D86"/>
    <w:rsid w:val="00CC5CD0"/>
    <w:rsid w:val="00CD496B"/>
    <w:rsid w:val="00CE60E2"/>
    <w:rsid w:val="00D43C41"/>
    <w:rsid w:val="00D6083A"/>
    <w:rsid w:val="00D80D5F"/>
    <w:rsid w:val="00DC566B"/>
    <w:rsid w:val="00DE12B4"/>
    <w:rsid w:val="00E14ABC"/>
    <w:rsid w:val="00E2071E"/>
    <w:rsid w:val="00E229E8"/>
    <w:rsid w:val="00E24D76"/>
    <w:rsid w:val="00E40C8D"/>
    <w:rsid w:val="00E45132"/>
    <w:rsid w:val="00E7434E"/>
    <w:rsid w:val="00E7653D"/>
    <w:rsid w:val="00E866D4"/>
    <w:rsid w:val="00EB15BD"/>
    <w:rsid w:val="00ED64E2"/>
    <w:rsid w:val="00F12678"/>
    <w:rsid w:val="00F15CD0"/>
    <w:rsid w:val="00F320B6"/>
    <w:rsid w:val="00F861E0"/>
    <w:rsid w:val="00FA4870"/>
    <w:rsid w:val="00FC3FE8"/>
    <w:rsid w:val="00FE1724"/>
    <w:rsid w:val="00FE2704"/>
    <w:rsid w:val="00FE2F1F"/>
    <w:rsid w:val="00FF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F66793"/>
  <w15:docId w15:val="{2A6AAF79-A54B-41A7-95B0-6A3FA754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pPr>
    <w:rPr>
      <w:sz w:val="22"/>
      <w:lang w:val="en-GB" w:eastAsia="nl-BE"/>
    </w:rPr>
  </w:style>
  <w:style w:type="paragraph" w:styleId="Heading1">
    <w:name w:val="heading 1"/>
    <w:basedOn w:val="Normal"/>
    <w:next w:val="Normal"/>
    <w:qFormat/>
    <w:pPr>
      <w:keepNext/>
      <w:numPr>
        <w:numId w:val="3"/>
      </w:numPr>
      <w:spacing w:before="180" w:after="180"/>
      <w:outlineLvl w:val="0"/>
    </w:pPr>
    <w:rPr>
      <w:b/>
      <w:kern w:val="28"/>
      <w:sz w:val="28"/>
    </w:rPr>
  </w:style>
  <w:style w:type="paragraph" w:styleId="Heading2">
    <w:name w:val="heading 2"/>
    <w:basedOn w:val="Normal"/>
    <w:next w:val="Normal"/>
    <w:qFormat/>
    <w:pPr>
      <w:keepNext/>
      <w:numPr>
        <w:ilvl w:val="1"/>
        <w:numId w:val="3"/>
      </w:numPr>
      <w:outlineLvl w:val="1"/>
    </w:pPr>
    <w:rPr>
      <w:b/>
      <w:i/>
    </w:rPr>
  </w:style>
  <w:style w:type="paragraph" w:styleId="Heading3">
    <w:name w:val="heading 3"/>
    <w:basedOn w:val="Normal"/>
    <w:next w:val="Normal"/>
    <w:qFormat/>
    <w:pPr>
      <w:keepNext/>
      <w:numPr>
        <w:ilvl w:val="2"/>
        <w:numId w:val="3"/>
      </w:numPr>
      <w:spacing w:before="180" w:after="180"/>
      <w:outlineLvl w:val="2"/>
    </w:pPr>
    <w:rPr>
      <w:b/>
    </w:rPr>
  </w:style>
  <w:style w:type="paragraph" w:styleId="Heading4">
    <w:name w:val="heading 4"/>
    <w:basedOn w:val="Normal"/>
    <w:next w:val="Normal"/>
    <w:qFormat/>
    <w:pPr>
      <w:keepNext/>
      <w:numPr>
        <w:ilvl w:val="3"/>
        <w:numId w:val="3"/>
      </w:numPr>
      <w:outlineLvl w:val="3"/>
    </w:pPr>
    <w:rPr>
      <w:b/>
      <w:i/>
    </w:rPr>
  </w:style>
  <w:style w:type="paragraph" w:styleId="Heading5">
    <w:name w:val="heading 5"/>
    <w:basedOn w:val="Normal"/>
    <w:next w:val="Normal"/>
    <w:qFormat/>
    <w:pPr>
      <w:numPr>
        <w:ilvl w:val="4"/>
        <w:numId w:val="3"/>
      </w:numPr>
      <w:spacing w:before="240" w:after="60"/>
      <w:outlineLvl w:val="4"/>
    </w:pPr>
    <w:rPr>
      <w:i/>
      <w:u w:val="single"/>
    </w:rPr>
  </w:style>
  <w:style w:type="paragraph" w:styleId="Heading6">
    <w:name w:val="heading 6"/>
    <w:basedOn w:val="Normal"/>
    <w:next w:val="Normal"/>
    <w:qFormat/>
    <w:pPr>
      <w:numPr>
        <w:ilvl w:val="5"/>
        <w:numId w:val="3"/>
      </w:numPr>
      <w:spacing w:before="240" w:after="60"/>
      <w:outlineLvl w:val="5"/>
    </w:pPr>
    <w:rPr>
      <w:i/>
    </w:rPr>
  </w:style>
  <w:style w:type="paragraph" w:styleId="Heading7">
    <w:name w:val="heading 7"/>
    <w:basedOn w:val="Normal"/>
    <w:next w:val="Normal"/>
    <w:qFormat/>
    <w:pPr>
      <w:numPr>
        <w:ilvl w:val="6"/>
        <w:numId w:val="3"/>
      </w:numPr>
      <w:spacing w:before="240" w:after="60"/>
      <w:outlineLvl w:val="6"/>
    </w:pPr>
  </w:style>
  <w:style w:type="paragraph" w:styleId="Heading8">
    <w:name w:val="heading 8"/>
    <w:basedOn w:val="Normal"/>
    <w:next w:val="Normal"/>
    <w:qFormat/>
    <w:pPr>
      <w:numPr>
        <w:ilvl w:val="7"/>
        <w:numId w:val="3"/>
      </w:numPr>
      <w:spacing w:before="240" w:after="60"/>
      <w:outlineLvl w:val="7"/>
    </w:pPr>
    <w:rPr>
      <w:i/>
    </w:rPr>
  </w:style>
  <w:style w:type="paragraph" w:styleId="Heading9">
    <w:name w:val="heading 9"/>
    <w:basedOn w:val="Normal"/>
    <w:next w:val="Normal"/>
    <w:qFormat/>
    <w:pPr>
      <w:numPr>
        <w:ilvl w:val="8"/>
        <w:numId w:val="3"/>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
    <w:name w:val="Titel"/>
    <w:basedOn w:val="Normal"/>
    <w:pPr>
      <w:jc w:val="center"/>
    </w:pPr>
    <w:rPr>
      <w:sz w:val="28"/>
    </w:rPr>
  </w:style>
  <w:style w:type="paragraph" w:customStyle="1" w:styleId="Optie">
    <w:name w:val="Optie"/>
    <w:basedOn w:val="Normal"/>
    <w:pPr>
      <w:spacing w:before="60" w:after="60"/>
      <w:ind w:left="284" w:hanging="284"/>
    </w:pPr>
  </w:style>
  <w:style w:type="paragraph" w:styleId="Header">
    <w:name w:val="header"/>
    <w:basedOn w:val="Normal"/>
    <w:pPr>
      <w:tabs>
        <w:tab w:val="center" w:pos="4153"/>
        <w:tab w:val="right" w:pos="8306"/>
      </w:tabs>
      <w:spacing w:before="0" w:after="0"/>
    </w:pPr>
  </w:style>
  <w:style w:type="paragraph" w:styleId="Footer">
    <w:name w:val="footer"/>
    <w:basedOn w:val="Normal"/>
    <w:pPr>
      <w:pBdr>
        <w:top w:val="single" w:sz="6" w:space="1" w:color="auto"/>
      </w:pBdr>
      <w:tabs>
        <w:tab w:val="center" w:pos="4153"/>
        <w:tab w:val="right" w:pos="8306"/>
      </w:tabs>
      <w:spacing w:before="0" w:after="0"/>
    </w:pPr>
  </w:style>
  <w:style w:type="character" w:styleId="PageNumber">
    <w:name w:val="page number"/>
    <w:basedOn w:val="DefaultParagraphFont"/>
  </w:style>
  <w:style w:type="paragraph" w:customStyle="1" w:styleId="Tabel">
    <w:name w:val="Tabel"/>
    <w:basedOn w:val="Normal"/>
    <w:pPr>
      <w:spacing w:before="0" w:after="0"/>
    </w:pPr>
  </w:style>
  <w:style w:type="paragraph" w:styleId="Caption">
    <w:name w:val="caption"/>
    <w:basedOn w:val="Normal"/>
    <w:next w:val="Normal"/>
    <w:qFormat/>
    <w:rPr>
      <w:b/>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before="0" w:after="0"/>
    </w:pPr>
    <w:rPr>
      <w:sz w:val="20"/>
    </w:rPr>
  </w:style>
  <w:style w:type="paragraph" w:customStyle="1" w:styleId="Optie2">
    <w:name w:val="Optie2"/>
    <w:basedOn w:val="Optie"/>
    <w:pPr>
      <w:ind w:left="567" w:hanging="283"/>
    </w:pPr>
  </w:style>
  <w:style w:type="paragraph" w:customStyle="1" w:styleId="Ref">
    <w:name w:val="Ref"/>
    <w:basedOn w:val="Normal"/>
    <w:pPr>
      <w:pBdr>
        <w:top w:val="double" w:sz="6" w:space="6" w:color="auto"/>
        <w:left w:val="double" w:sz="6" w:space="6" w:color="auto"/>
        <w:bottom w:val="double" w:sz="6" w:space="6" w:color="auto"/>
        <w:right w:val="double" w:sz="6" w:space="6" w:color="auto"/>
      </w:pBdr>
      <w:tabs>
        <w:tab w:val="left" w:leader="underscore" w:pos="3969"/>
      </w:tabs>
      <w:spacing w:before="0" w:after="0"/>
      <w:jc w:val="right"/>
    </w:pPr>
  </w:style>
  <w:style w:type="paragraph" w:styleId="TOC1">
    <w:name w:val="toc 1"/>
    <w:basedOn w:val="Normal"/>
    <w:next w:val="Normal"/>
    <w:uiPriority w:val="39"/>
    <w:pPr>
      <w:tabs>
        <w:tab w:val="right" w:pos="9072"/>
      </w:tabs>
      <w:spacing w:before="360" w:after="0"/>
    </w:pPr>
    <w:rPr>
      <w:b/>
      <w:caps/>
    </w:rPr>
  </w:style>
  <w:style w:type="paragraph" w:styleId="TOC2">
    <w:name w:val="toc 2"/>
    <w:basedOn w:val="Normal"/>
    <w:next w:val="Normal"/>
    <w:uiPriority w:val="39"/>
    <w:pPr>
      <w:tabs>
        <w:tab w:val="right" w:pos="9072"/>
      </w:tabs>
      <w:spacing w:before="240" w:after="0"/>
      <w:ind w:left="240"/>
    </w:pPr>
    <w:rPr>
      <w:b/>
      <w:sz w:val="20"/>
    </w:rPr>
  </w:style>
  <w:style w:type="paragraph" w:styleId="TOC3">
    <w:name w:val="toc 3"/>
    <w:basedOn w:val="Normal"/>
    <w:next w:val="Normal"/>
    <w:uiPriority w:val="39"/>
    <w:pPr>
      <w:tabs>
        <w:tab w:val="right" w:pos="9072"/>
      </w:tabs>
      <w:spacing w:before="0" w:after="0"/>
      <w:ind w:left="480"/>
    </w:pPr>
    <w:rPr>
      <w:sz w:val="20"/>
    </w:rPr>
  </w:style>
  <w:style w:type="paragraph" w:styleId="TOC4">
    <w:name w:val="toc 4"/>
    <w:basedOn w:val="Normal"/>
    <w:next w:val="Normal"/>
    <w:semiHidden/>
    <w:pPr>
      <w:tabs>
        <w:tab w:val="right" w:pos="9072"/>
      </w:tabs>
      <w:spacing w:before="0" w:after="0"/>
      <w:ind w:left="720"/>
    </w:pPr>
    <w:rPr>
      <w:sz w:val="20"/>
    </w:rPr>
  </w:style>
  <w:style w:type="paragraph" w:styleId="TOC5">
    <w:name w:val="toc 5"/>
    <w:basedOn w:val="Normal"/>
    <w:next w:val="Normal"/>
    <w:semiHidden/>
    <w:pPr>
      <w:tabs>
        <w:tab w:val="right" w:pos="9072"/>
      </w:tabs>
      <w:spacing w:before="0" w:after="0"/>
      <w:ind w:left="960"/>
    </w:pPr>
    <w:rPr>
      <w:sz w:val="20"/>
    </w:rPr>
  </w:style>
  <w:style w:type="paragraph" w:styleId="TOC6">
    <w:name w:val="toc 6"/>
    <w:basedOn w:val="Normal"/>
    <w:next w:val="Normal"/>
    <w:semiHidden/>
    <w:pPr>
      <w:tabs>
        <w:tab w:val="right" w:pos="9072"/>
      </w:tabs>
      <w:spacing w:before="0" w:after="0"/>
      <w:ind w:left="1200"/>
    </w:pPr>
    <w:rPr>
      <w:sz w:val="20"/>
    </w:rPr>
  </w:style>
  <w:style w:type="paragraph" w:styleId="TOC7">
    <w:name w:val="toc 7"/>
    <w:basedOn w:val="Normal"/>
    <w:next w:val="Normal"/>
    <w:semiHidden/>
    <w:pPr>
      <w:tabs>
        <w:tab w:val="right" w:pos="9072"/>
      </w:tabs>
      <w:spacing w:before="0" w:after="0"/>
      <w:ind w:left="1440"/>
    </w:pPr>
    <w:rPr>
      <w:sz w:val="20"/>
    </w:rPr>
  </w:style>
  <w:style w:type="paragraph" w:styleId="TOC8">
    <w:name w:val="toc 8"/>
    <w:basedOn w:val="Normal"/>
    <w:next w:val="Normal"/>
    <w:semiHidden/>
    <w:pPr>
      <w:tabs>
        <w:tab w:val="right" w:pos="9072"/>
      </w:tabs>
      <w:spacing w:before="0" w:after="0"/>
      <w:ind w:left="1680"/>
    </w:pPr>
    <w:rPr>
      <w:sz w:val="20"/>
    </w:rPr>
  </w:style>
  <w:style w:type="paragraph" w:styleId="TOC9">
    <w:name w:val="toc 9"/>
    <w:basedOn w:val="Normal"/>
    <w:next w:val="Normal"/>
    <w:semiHidden/>
    <w:pPr>
      <w:tabs>
        <w:tab w:val="right" w:pos="9072"/>
      </w:tabs>
      <w:spacing w:before="0" w:after="0"/>
      <w:ind w:left="1920"/>
    </w:pPr>
    <w:rPr>
      <w:sz w:val="20"/>
    </w:rPr>
  </w:style>
  <w:style w:type="paragraph" w:styleId="BodyText">
    <w:name w:val="Body Text"/>
    <w:basedOn w:val="Normal"/>
    <w:pPr>
      <w:spacing w:before="0"/>
    </w:pPr>
    <w:rPr>
      <w:sz w:val="20"/>
      <w:lang w:val="en-US"/>
    </w:rPr>
  </w:style>
  <w:style w:type="paragraph" w:styleId="BodyText2">
    <w:name w:val="Body Text 2"/>
    <w:basedOn w:val="Normal"/>
    <w:pPr>
      <w:spacing w:before="0" w:after="0"/>
    </w:pPr>
    <w:rPr>
      <w:b/>
      <w:sz w:val="16"/>
      <w:lang w:val="en-US"/>
    </w:r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lang w:eastAsia="en-US"/>
    </w:rPr>
  </w:style>
  <w:style w:type="paragraph" w:styleId="BalloonText">
    <w:name w:val="Balloon Text"/>
    <w:basedOn w:val="Normal"/>
    <w:semiHidden/>
    <w:rPr>
      <w:rFonts w:ascii="Tahoma" w:hAnsi="Tahoma" w:cs="Tahoma"/>
      <w:sz w:val="16"/>
      <w:szCs w:val="16"/>
    </w:rPr>
  </w:style>
  <w:style w:type="paragraph" w:customStyle="1" w:styleId="ZmodTrame">
    <w:name w:val="ZmodTrame"/>
    <w:rPr>
      <w:rFonts w:ascii="Arial" w:hAnsi="Arial"/>
      <w:noProof/>
      <w:lang w:val="en-GB"/>
    </w:rPr>
  </w:style>
  <w:style w:type="paragraph" w:customStyle="1" w:styleId="ZmodTrameCentr">
    <w:name w:val="ZmodTrameCentré"/>
    <w:basedOn w:val="ZmodTrame"/>
    <w:pPr>
      <w:jc w:val="center"/>
    </w:pPr>
  </w:style>
  <w:style w:type="paragraph" w:customStyle="1" w:styleId="ZmodListDif">
    <w:name w:val="ZmodListDif"/>
    <w:basedOn w:val="ZmodTrame"/>
    <w:pPr>
      <w:tabs>
        <w:tab w:val="left" w:pos="567"/>
      </w:tabs>
      <w:ind w:left="142"/>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Subtitle">
    <w:name w:val="Subtitle"/>
    <w:basedOn w:val="Normal"/>
    <w:qFormat/>
    <w:pPr>
      <w:pageBreakBefore/>
      <w:spacing w:before="0" w:after="240"/>
      <w:jc w:val="center"/>
    </w:pPr>
    <w:rPr>
      <w:rFonts w:ascii="Arial" w:hAnsi="Arial"/>
      <w:b/>
      <w:sz w:val="24"/>
      <w:u w:val="single"/>
      <w:lang w:val="en-US"/>
    </w:rPr>
  </w:style>
  <w:style w:type="paragraph" w:customStyle="1" w:styleId="P1">
    <w:name w:val="P1"/>
    <w:basedOn w:val="Normal"/>
    <w:rsid w:val="004C3ED8"/>
    <w:pPr>
      <w:spacing w:before="240" w:after="0"/>
      <w:ind w:left="284"/>
      <w:jc w:val="both"/>
    </w:pPr>
    <w:rPr>
      <w:color w:val="000000"/>
      <w:sz w:val="24"/>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275841">
      <w:bodyDiv w:val="1"/>
      <w:marLeft w:val="0"/>
      <w:marRight w:val="0"/>
      <w:marTop w:val="0"/>
      <w:marBottom w:val="0"/>
      <w:divBdr>
        <w:top w:val="none" w:sz="0" w:space="0" w:color="auto"/>
        <w:left w:val="none" w:sz="0" w:space="0" w:color="auto"/>
        <w:bottom w:val="none" w:sz="0" w:space="0" w:color="auto"/>
        <w:right w:val="none" w:sz="0" w:space="0" w:color="auto"/>
      </w:divBdr>
      <w:divsChild>
        <w:div w:id="719862449">
          <w:marLeft w:val="0"/>
          <w:marRight w:val="0"/>
          <w:marTop w:val="0"/>
          <w:marBottom w:val="0"/>
          <w:divBdr>
            <w:top w:val="none" w:sz="0" w:space="0" w:color="auto"/>
            <w:left w:val="none" w:sz="0" w:space="0" w:color="auto"/>
            <w:bottom w:val="none" w:sz="0" w:space="0" w:color="auto"/>
            <w:right w:val="none" w:sz="0" w:space="0" w:color="auto"/>
          </w:divBdr>
          <w:divsChild>
            <w:div w:id="1337347108">
              <w:marLeft w:val="0"/>
              <w:marRight w:val="0"/>
              <w:marTop w:val="0"/>
              <w:marBottom w:val="0"/>
              <w:divBdr>
                <w:top w:val="none" w:sz="0" w:space="0" w:color="auto"/>
                <w:left w:val="none" w:sz="0" w:space="0" w:color="auto"/>
                <w:bottom w:val="none" w:sz="0" w:space="0" w:color="auto"/>
                <w:right w:val="none" w:sz="0" w:space="0" w:color="auto"/>
              </w:divBdr>
              <w:divsChild>
                <w:div w:id="1049917183">
                  <w:marLeft w:val="0"/>
                  <w:marRight w:val="0"/>
                  <w:marTop w:val="0"/>
                  <w:marBottom w:val="0"/>
                  <w:divBdr>
                    <w:top w:val="none" w:sz="0" w:space="0" w:color="auto"/>
                    <w:left w:val="none" w:sz="0" w:space="0" w:color="auto"/>
                    <w:bottom w:val="none" w:sz="0" w:space="0" w:color="auto"/>
                    <w:right w:val="none" w:sz="0" w:space="0" w:color="auto"/>
                  </w:divBdr>
                  <w:divsChild>
                    <w:div w:id="1321274857">
                      <w:marLeft w:val="0"/>
                      <w:marRight w:val="0"/>
                      <w:marTop w:val="0"/>
                      <w:marBottom w:val="0"/>
                      <w:divBdr>
                        <w:top w:val="none" w:sz="0" w:space="0" w:color="auto"/>
                        <w:left w:val="none" w:sz="0" w:space="0" w:color="auto"/>
                        <w:bottom w:val="none" w:sz="0" w:space="0" w:color="auto"/>
                        <w:right w:val="none" w:sz="0" w:space="0" w:color="auto"/>
                      </w:divBdr>
                      <w:divsChild>
                        <w:div w:id="244532201">
                          <w:marLeft w:val="0"/>
                          <w:marRight w:val="0"/>
                          <w:marTop w:val="0"/>
                          <w:marBottom w:val="0"/>
                          <w:divBdr>
                            <w:top w:val="none" w:sz="0" w:space="0" w:color="auto"/>
                            <w:left w:val="none" w:sz="0" w:space="0" w:color="auto"/>
                            <w:bottom w:val="none" w:sz="0" w:space="0" w:color="auto"/>
                            <w:right w:val="none" w:sz="0" w:space="0" w:color="auto"/>
                          </w:divBdr>
                          <w:divsChild>
                            <w:div w:id="1912151970">
                              <w:marLeft w:val="0"/>
                              <w:marRight w:val="0"/>
                              <w:marTop w:val="0"/>
                              <w:marBottom w:val="0"/>
                              <w:divBdr>
                                <w:top w:val="none" w:sz="0" w:space="0" w:color="auto"/>
                                <w:left w:val="none" w:sz="0" w:space="0" w:color="auto"/>
                                <w:bottom w:val="none" w:sz="0" w:space="0" w:color="auto"/>
                                <w:right w:val="none" w:sz="0" w:space="0" w:color="auto"/>
                              </w:divBdr>
                              <w:divsChild>
                                <w:div w:id="111478741">
                                  <w:marLeft w:val="0"/>
                                  <w:marRight w:val="0"/>
                                  <w:marTop w:val="0"/>
                                  <w:marBottom w:val="0"/>
                                  <w:divBdr>
                                    <w:top w:val="none" w:sz="0" w:space="0" w:color="auto"/>
                                    <w:left w:val="none" w:sz="0" w:space="0" w:color="auto"/>
                                    <w:bottom w:val="none" w:sz="0" w:space="0" w:color="auto"/>
                                    <w:right w:val="none" w:sz="0" w:space="0" w:color="auto"/>
                                  </w:divBdr>
                                  <w:divsChild>
                                    <w:div w:id="499275489">
                                      <w:marLeft w:val="0"/>
                                      <w:marRight w:val="0"/>
                                      <w:marTop w:val="0"/>
                                      <w:marBottom w:val="0"/>
                                      <w:divBdr>
                                        <w:top w:val="none" w:sz="0" w:space="0" w:color="auto"/>
                                        <w:left w:val="none" w:sz="0" w:space="0" w:color="auto"/>
                                        <w:bottom w:val="none" w:sz="0" w:space="0" w:color="auto"/>
                                        <w:right w:val="single" w:sz="6" w:space="0" w:color="91CDF2"/>
                                      </w:divBdr>
                                      <w:divsChild>
                                        <w:div w:id="1314262789">
                                          <w:marLeft w:val="0"/>
                                          <w:marRight w:val="0"/>
                                          <w:marTop w:val="0"/>
                                          <w:marBottom w:val="0"/>
                                          <w:divBdr>
                                            <w:top w:val="none" w:sz="0" w:space="0" w:color="auto"/>
                                            <w:left w:val="none" w:sz="0" w:space="0" w:color="auto"/>
                                            <w:bottom w:val="none" w:sz="0" w:space="0" w:color="auto"/>
                                            <w:right w:val="none" w:sz="0" w:space="0" w:color="auto"/>
                                          </w:divBdr>
                                          <w:divsChild>
                                            <w:div w:id="17871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file:///C:\DATA\CLIPART\LOGOBNEW.WM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E55B2EA6D87CC4780BBE9AAFEC19BEA" ma:contentTypeVersion="0" ma:contentTypeDescription="Create a new document." ma:contentTypeScope="" ma:versionID="e40e70cdfec148ce40072871ffe159c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5D383B-30BD-48D0-AFCA-34EF54C810FF}">
  <ds:schemaRefs>
    <ds:schemaRef ds:uri="http://schemas.microsoft.com/sharepoint/v3/contenttype/forms"/>
  </ds:schemaRefs>
</ds:datastoreItem>
</file>

<file path=customXml/itemProps2.xml><?xml version="1.0" encoding="utf-8"?>
<ds:datastoreItem xmlns:ds="http://schemas.openxmlformats.org/officeDocument/2006/customXml" ds:itemID="{50F34746-C1DB-4CCB-9E16-453AEECD3392}">
  <ds:schemaRefs>
    <ds:schemaRef ds:uri="http://schemas.openxmlformats.org/officeDocument/2006/bibliography"/>
  </ds:schemaRefs>
</ds:datastoreItem>
</file>

<file path=customXml/itemProps3.xml><?xml version="1.0" encoding="utf-8"?>
<ds:datastoreItem xmlns:ds="http://schemas.openxmlformats.org/officeDocument/2006/customXml" ds:itemID="{1D130A93-6CCC-4B79-ADB9-67E58978A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4E13F5-BFD5-47A1-939B-A0947C20C1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3561</Words>
  <Characters>19148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ANNEX F: P&amp;I</vt:lpstr>
    </vt:vector>
  </TitlesOfParts>
  <Company>ORANGE FT Group</Company>
  <LinksUpToDate>false</LinksUpToDate>
  <CharactersWithSpaces>22664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F: P&amp;I</dc:title>
  <dc:creator>923516</dc:creator>
  <cp:lastModifiedBy>D'HAEN Yael</cp:lastModifiedBy>
  <cp:revision>2</cp:revision>
  <cp:lastPrinted>2019-10-10T07:44:00Z</cp:lastPrinted>
  <dcterms:created xsi:type="dcterms:W3CDTF">2022-06-10T15:57:00Z</dcterms:created>
  <dcterms:modified xsi:type="dcterms:W3CDTF">2022-06-10T15:57:00Z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VP60">
    <vt:lpwstr>OK</vt:lpwstr>
  </property>
  <property fmtid="{D5CDD505-2E9C-101B-9397-08002B2CF9AE}" pid="3" name="_NewReviewCycle">
    <vt:lpwstr/>
  </property>
  <property fmtid="{D5CDD505-2E9C-101B-9397-08002B2CF9AE}" pid="4" name="ContentTypeId">
    <vt:lpwstr>0x010100FE55B2EA6D87CC4780BBE9AAFEC19BEA</vt:lpwstr>
  </property>
</Properties>
</file>